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仿宋" w:hAnsi="仿宋" w:eastAsia="仿宋" w:cs="Times New Roman"/>
          <w:b/>
          <w:color w:val="000000"/>
          <w:w w:val="80"/>
          <w:sz w:val="72"/>
          <w:szCs w:val="72"/>
        </w:rPr>
      </w:pPr>
      <w:bookmarkStart w:id="0" w:name="_Hlk24613880"/>
    </w:p>
    <w:p>
      <w:pPr>
        <w:spacing w:line="276" w:lineRule="auto"/>
        <w:jc w:val="center"/>
        <w:rPr>
          <w:rFonts w:ascii="仿宋" w:hAnsi="仿宋" w:eastAsia="仿宋" w:cs="Times New Roman"/>
          <w:b/>
          <w:color w:val="000000"/>
          <w:w w:val="80"/>
          <w:sz w:val="72"/>
          <w:szCs w:val="72"/>
        </w:rPr>
      </w:pPr>
    </w:p>
    <w:p>
      <w:pPr>
        <w:spacing w:line="276" w:lineRule="auto"/>
        <w:jc w:val="center"/>
        <w:rPr>
          <w:rFonts w:ascii="仿宋" w:hAnsi="仿宋" w:eastAsia="仿宋" w:cs="Times New Roman"/>
          <w:b/>
          <w:color w:val="000000"/>
          <w:w w:val="80"/>
          <w:sz w:val="64"/>
          <w:szCs w:val="64"/>
        </w:rPr>
      </w:pPr>
      <w:r>
        <w:rPr>
          <w:rFonts w:hint="eastAsia" w:ascii="仿宋" w:hAnsi="仿宋" w:eastAsia="仿宋" w:cs="Times New Roman"/>
          <w:b/>
          <w:color w:val="000000"/>
          <w:w w:val="80"/>
          <w:sz w:val="64"/>
          <w:szCs w:val="64"/>
        </w:rPr>
        <w:t>浙江佰利眼镜有限公司</w:t>
      </w:r>
    </w:p>
    <w:p>
      <w:pPr>
        <w:spacing w:line="276" w:lineRule="auto"/>
        <w:jc w:val="center"/>
        <w:rPr>
          <w:rFonts w:ascii="宋体" w:hAnsi="宋体" w:eastAsia="宋体" w:cs="宋体"/>
          <w:b/>
          <w:sz w:val="52"/>
          <w:szCs w:val="52"/>
        </w:rPr>
      </w:pPr>
      <w:r>
        <w:rPr>
          <w:rFonts w:hint="eastAsia" w:ascii="宋体" w:hAnsi="宋体" w:eastAsia="宋体" w:cs="宋体"/>
          <w:b/>
          <w:sz w:val="52"/>
          <w:szCs w:val="52"/>
        </w:rPr>
        <w:t xml:space="preserve"> </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社</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会</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责</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任</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报</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告</w:t>
      </w:r>
    </w:p>
    <w:p>
      <w:pPr>
        <w:spacing w:line="276" w:lineRule="auto"/>
        <w:ind w:firstLine="3900" w:firstLineChars="750"/>
        <w:rPr>
          <w:rFonts w:ascii="宋体" w:hAnsi="宋体" w:eastAsia="宋体" w:cs="宋体"/>
          <w:sz w:val="52"/>
          <w:szCs w:val="52"/>
        </w:rPr>
      </w:pPr>
    </w:p>
    <w:p>
      <w:pPr>
        <w:spacing w:line="276" w:lineRule="auto"/>
        <w:ind w:firstLine="3900" w:firstLineChars="750"/>
        <w:rPr>
          <w:rFonts w:ascii="宋体" w:hAnsi="宋体" w:eastAsia="宋体" w:cs="宋体"/>
          <w:sz w:val="52"/>
          <w:szCs w:val="52"/>
        </w:rPr>
      </w:pPr>
    </w:p>
    <w:p>
      <w:pPr>
        <w:spacing w:before="40" w:after="40" w:line="276" w:lineRule="auto"/>
        <w:jc w:val="center"/>
        <w:rPr>
          <w:rFonts w:ascii="宋体" w:hAnsi="宋体" w:eastAsia="宋体" w:cs="宋体"/>
          <w:sz w:val="36"/>
          <w:szCs w:val="36"/>
        </w:rPr>
      </w:pPr>
      <w:r>
        <w:rPr>
          <w:rFonts w:hint="eastAsia" w:ascii="宋体" w:hAnsi="宋体" w:eastAsia="宋体" w:cs="宋体"/>
          <w:sz w:val="36"/>
          <w:szCs w:val="36"/>
        </w:rPr>
        <w:t>报告日期：</w:t>
      </w:r>
      <w:r>
        <w:rPr>
          <w:rFonts w:ascii="宋体" w:hAnsi="宋体" w:eastAsia="宋体" w:cs="宋体"/>
          <w:sz w:val="36"/>
          <w:szCs w:val="36"/>
        </w:rPr>
        <w:t>20</w:t>
      </w:r>
      <w:r>
        <w:rPr>
          <w:rFonts w:hint="eastAsia" w:ascii="宋体" w:hAnsi="宋体" w:eastAsia="宋体" w:cs="宋体"/>
          <w:sz w:val="36"/>
          <w:szCs w:val="36"/>
        </w:rPr>
        <w:t>20年7月</w:t>
      </w:r>
    </w:p>
    <w:bookmarkEnd w:id="0"/>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bookmarkStart w:id="1" w:name="_Hlk24613918"/>
    </w:p>
    <w:p>
      <w:pPr>
        <w:pStyle w:val="91"/>
        <w:ind w:firstLine="640"/>
      </w:pPr>
      <w:r>
        <w:rPr>
          <w:rFonts w:hint="eastAsia"/>
        </w:rPr>
        <w:t>关于本报告</w:t>
      </w:r>
    </w:p>
    <w:p>
      <w:pPr>
        <w:pStyle w:val="90"/>
      </w:pPr>
      <w:bookmarkStart w:id="2" w:name="_Toc493596484"/>
      <w:r>
        <w:rPr>
          <w:rFonts w:hint="eastAsia"/>
        </w:rPr>
        <w:t xml:space="preserve">1 </w:t>
      </w:r>
      <w:bookmarkEnd w:id="2"/>
      <w:r>
        <w:rPr>
          <w:rFonts w:hint="eastAsia"/>
        </w:rPr>
        <w:t>报告范围</w:t>
      </w:r>
    </w:p>
    <w:p>
      <w:pPr>
        <w:ind w:firstLine="420"/>
      </w:pPr>
      <w:r>
        <w:rPr>
          <w:rFonts w:hint="eastAsia"/>
        </w:rPr>
        <w:t>本报告以浙江佰利眼镜有限公司为主体，披露了2019年企业履行政治、经济、社会和生态责任方面的内容。</w:t>
      </w:r>
    </w:p>
    <w:p>
      <w:pPr>
        <w:pStyle w:val="90"/>
      </w:pPr>
      <w:r>
        <w:rPr>
          <w:rFonts w:hint="eastAsia"/>
        </w:rPr>
        <w:t>2 称谓说明</w:t>
      </w:r>
    </w:p>
    <w:p>
      <w:pPr>
        <w:ind w:firstLine="420"/>
      </w:pPr>
      <w:r>
        <w:rPr>
          <w:rFonts w:hint="eastAsia"/>
        </w:rPr>
        <w:t>为表述方便，报告把“浙江佰利眼镜有限公司”简称为“佰利”、“佰利眼镜”。</w:t>
      </w:r>
    </w:p>
    <w:p>
      <w:pPr>
        <w:pStyle w:val="90"/>
      </w:pPr>
      <w:bookmarkStart w:id="3" w:name="_Toc493596487"/>
      <w:r>
        <w:rPr>
          <w:rFonts w:hint="eastAsia"/>
        </w:rPr>
        <w:t>3 报告时间</w:t>
      </w:r>
      <w:bookmarkEnd w:id="3"/>
      <w:r>
        <w:rPr>
          <w:rFonts w:hint="eastAsia"/>
        </w:rPr>
        <w:t>和频次</w:t>
      </w:r>
    </w:p>
    <w:p>
      <w:pPr>
        <w:ind w:firstLine="420"/>
        <w:rPr>
          <w:rFonts w:ascii="宋体" w:hAnsi="宋体" w:eastAsia="宋体"/>
        </w:rPr>
      </w:pPr>
      <w:r>
        <w:rPr>
          <w:rFonts w:hint="eastAsia" w:ascii="宋体" w:hAnsi="宋体" w:eastAsia="宋体"/>
        </w:rPr>
        <w:t>2019年</w:t>
      </w:r>
      <w:r>
        <w:rPr>
          <w:rFonts w:ascii="宋体" w:hAnsi="宋体" w:eastAsia="宋体"/>
        </w:rPr>
        <w:t>0</w:t>
      </w:r>
      <w:r>
        <w:rPr>
          <w:rFonts w:hint="eastAsia" w:ascii="宋体" w:hAnsi="宋体" w:eastAsia="宋体"/>
        </w:rPr>
        <w:t>6月</w:t>
      </w:r>
      <w:r>
        <w:rPr>
          <w:rFonts w:ascii="宋体" w:hAnsi="宋体" w:eastAsia="宋体"/>
        </w:rPr>
        <w:t>30</w:t>
      </w:r>
      <w:r>
        <w:rPr>
          <w:rFonts w:hint="eastAsia" w:ascii="宋体" w:hAnsi="宋体" w:eastAsia="宋体"/>
        </w:rPr>
        <w:t>日至2020年</w:t>
      </w:r>
      <w:r>
        <w:rPr>
          <w:rFonts w:ascii="宋体" w:hAnsi="宋体" w:eastAsia="宋体"/>
        </w:rPr>
        <w:t>0</w:t>
      </w:r>
      <w:r>
        <w:rPr>
          <w:rFonts w:hint="eastAsia" w:ascii="宋体" w:hAnsi="宋体" w:eastAsia="宋体"/>
        </w:rPr>
        <w:t>7月01日，部分数据及内容超出上述范围。</w:t>
      </w:r>
    </w:p>
    <w:p>
      <w:pPr>
        <w:ind w:firstLine="420"/>
        <w:rPr>
          <w:rFonts w:ascii="宋体" w:hAnsi="宋体" w:eastAsia="宋体"/>
        </w:rPr>
      </w:pPr>
      <w:r>
        <w:rPr>
          <w:rFonts w:hint="eastAsia" w:ascii="宋体" w:hAnsi="宋体" w:eastAsia="宋体"/>
        </w:rPr>
        <w:t>本报告为年度报告。</w:t>
      </w:r>
    </w:p>
    <w:p>
      <w:pPr>
        <w:pStyle w:val="90"/>
      </w:pPr>
      <w:bookmarkStart w:id="4" w:name="_Toc493596490"/>
      <w:r>
        <w:rPr>
          <w:rFonts w:hint="eastAsia"/>
        </w:rPr>
        <w:t>4 报告</w:t>
      </w:r>
      <w:bookmarkEnd w:id="4"/>
      <w:r>
        <w:rPr>
          <w:rFonts w:hint="eastAsia"/>
        </w:rPr>
        <w:t>发布形式</w:t>
      </w:r>
    </w:p>
    <w:p>
      <w:pPr>
        <w:ind w:firstLine="420"/>
        <w:rPr>
          <w:rFonts w:ascii="宋体" w:hAnsi="宋体" w:eastAsia="宋体"/>
        </w:rPr>
      </w:pPr>
      <w:r>
        <w:rPr>
          <w:rFonts w:hint="eastAsia" w:ascii="宋体" w:hAnsi="宋体" w:eastAsia="宋体"/>
        </w:rPr>
        <w:t>本报告以电子文档形式发布，其中电子文档可在浙江佰利眼镜有限公司网站（</w:t>
      </w:r>
      <w:r>
        <w:rPr>
          <w:rFonts w:ascii="宋体" w:hAnsi="宋体" w:eastAsia="宋体"/>
        </w:rPr>
        <w:t>www.bailiglasses.com</w:t>
      </w:r>
      <w:r>
        <w:rPr>
          <w:rFonts w:hint="eastAsia" w:ascii="宋体" w:hAnsi="宋体" w:eastAsia="宋体"/>
        </w:rPr>
        <w:t>）下载阅读。</w:t>
      </w:r>
    </w:p>
    <w:p>
      <w:pPr>
        <w:ind w:firstLine="420"/>
      </w:pPr>
    </w:p>
    <w:bookmarkEnd w:id="1"/>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spacing w:before="40" w:after="40" w:line="276" w:lineRule="auto"/>
        <w:jc w:val="center"/>
        <w:rPr>
          <w:rFonts w:ascii="宋体" w:hAnsi="宋体" w:eastAsia="宋体" w:cs="宋体"/>
          <w:sz w:val="36"/>
          <w:szCs w:val="36"/>
        </w:rPr>
      </w:pPr>
    </w:p>
    <w:p>
      <w:pPr>
        <w:pStyle w:val="51"/>
        <w:numPr>
          <w:ilvl w:val="0"/>
          <w:numId w:val="1"/>
        </w:numPr>
        <w:spacing w:before="156" w:beforeLines="50" w:after="156" w:afterLines="50" w:line="360" w:lineRule="auto"/>
        <w:ind w:firstLineChars="0"/>
        <w:outlineLvl w:val="0"/>
        <w:rPr>
          <w:rFonts w:asciiTheme="majorEastAsia" w:hAnsiTheme="majorEastAsia" w:eastAsiaTheme="majorEastAsia"/>
          <w:b/>
          <w:color w:val="000000" w:themeColor="text1"/>
          <w:sz w:val="28"/>
          <w:szCs w:val="24"/>
          <w14:textFill>
            <w14:solidFill>
              <w14:schemeClr w14:val="tx1"/>
            </w14:solidFill>
          </w14:textFill>
        </w:rPr>
      </w:pPr>
      <w:bookmarkStart w:id="5" w:name="_Toc451610984"/>
      <w:bookmarkStart w:id="6" w:name="_Toc451610891"/>
      <w:r>
        <w:rPr>
          <w:rFonts w:hint="eastAsia" w:asciiTheme="majorEastAsia" w:hAnsiTheme="majorEastAsia" w:eastAsiaTheme="majorEastAsia"/>
          <w:b/>
          <w:color w:val="000000" w:themeColor="text1"/>
          <w:sz w:val="28"/>
          <w:szCs w:val="24"/>
          <w14:textFill>
            <w14:solidFill>
              <w14:schemeClr w14:val="tx1"/>
            </w14:solidFill>
          </w14:textFill>
        </w:rPr>
        <w:t>浙江佰利眼镜有限公司</w:t>
      </w:r>
      <w:r>
        <w:rPr>
          <w:rFonts w:asciiTheme="majorEastAsia" w:hAnsiTheme="majorEastAsia" w:eastAsiaTheme="majorEastAsia"/>
          <w:b/>
          <w:color w:val="000000" w:themeColor="text1"/>
          <w:sz w:val="28"/>
          <w:szCs w:val="24"/>
          <w14:textFill>
            <w14:solidFill>
              <w14:schemeClr w14:val="tx1"/>
            </w14:solidFill>
          </w14:textFill>
        </w:rPr>
        <w:t>简介</w:t>
      </w:r>
      <w:r>
        <w:rPr>
          <w:rFonts w:hint="eastAsia" w:asciiTheme="majorEastAsia" w:hAnsiTheme="majorEastAsia" w:eastAsiaTheme="majorEastAsia"/>
          <w:b/>
          <w:color w:val="000000" w:themeColor="text1"/>
          <w:sz w:val="28"/>
          <w:szCs w:val="24"/>
          <w14:textFill>
            <w14:solidFill>
              <w14:schemeClr w14:val="tx1"/>
            </w14:solidFill>
          </w14:textFill>
        </w:rPr>
        <w:t>和企业文化</w:t>
      </w:r>
    </w:p>
    <w:p>
      <w:pPr>
        <w:pStyle w:val="51"/>
        <w:spacing w:before="156" w:beforeLines="50" w:after="156" w:afterLines="50" w:line="360" w:lineRule="auto"/>
        <w:ind w:firstLine="0" w:firstLineChars="0"/>
        <w:outlineLvl w:val="0"/>
        <w:rPr>
          <w:rFonts w:asciiTheme="majorEastAsia" w:hAnsiTheme="majorEastAsia" w:eastAsiaTheme="majorEastAsia"/>
          <w:b/>
          <w:color w:val="000000" w:themeColor="text1"/>
          <w:sz w:val="28"/>
          <w:szCs w:val="24"/>
          <w14:textFill>
            <w14:solidFill>
              <w14:schemeClr w14:val="tx1"/>
            </w14:solidFill>
          </w14:textFill>
        </w:rPr>
      </w:pPr>
      <w:r>
        <w:rPr>
          <w:rFonts w:hint="eastAsia" w:asciiTheme="majorEastAsia" w:hAnsiTheme="majorEastAsia" w:eastAsiaTheme="majorEastAsia"/>
          <w:b/>
          <w:color w:val="000000" w:themeColor="text1"/>
          <w:sz w:val="28"/>
          <w:szCs w:val="24"/>
          <w14:textFill>
            <w14:solidFill>
              <w14:schemeClr w14:val="tx1"/>
            </w14:solidFill>
          </w14:textFill>
        </w:rPr>
        <w:t>1.公司简介</w:t>
      </w:r>
    </w:p>
    <w:p>
      <w:pPr>
        <w:pStyle w:val="19"/>
        <w:spacing w:line="240" w:lineRule="auto"/>
        <w:ind w:firstLineChars="0"/>
        <w:jc w:val="center"/>
        <w:rPr>
          <w:rFonts w:ascii="宋体" w:hAnsi="宋体" w:eastAsia="宋体"/>
          <w:b/>
          <w:bCs/>
          <w:szCs w:val="24"/>
        </w:rPr>
      </w:pPr>
      <w:r>
        <w:rPr>
          <w:rFonts w:hint="eastAsia" w:ascii="宋体" w:hAnsi="宋体"/>
          <w:b/>
          <w:bCs/>
          <w:sz w:val="40"/>
          <w:szCs w:val="40"/>
        </w:rPr>
        <w:t>公司简介</w:t>
      </w:r>
    </w:p>
    <w:p>
      <w:pPr>
        <w:pStyle w:val="19"/>
        <w:spacing w:line="240" w:lineRule="auto"/>
        <w:ind w:firstLineChars="0"/>
        <w:jc w:val="left"/>
        <w:rPr>
          <w:rFonts w:ascii="宋体" w:hAnsi="宋体"/>
          <w:b/>
          <w:bCs/>
          <w:szCs w:val="24"/>
        </w:rPr>
      </w:pPr>
    </w:p>
    <w:p>
      <w:pPr>
        <w:pStyle w:val="19"/>
        <w:spacing w:line="360" w:lineRule="auto"/>
        <w:jc w:val="left"/>
        <w:rPr>
          <w:rFonts w:ascii="宋体" w:hAnsi="宋体"/>
          <w:szCs w:val="24"/>
        </w:rPr>
      </w:pPr>
      <w:r>
        <w:rPr>
          <w:rFonts w:hint="eastAsia" w:ascii="宋体" w:hAnsi="宋体"/>
          <w:szCs w:val="24"/>
        </w:rPr>
        <w:t>浙江佰利眼镜有限公司前身椒江佰利眼镜厂，创立于2007年，坐落于浙江台州椒江章安建设工业区，作为一家成熟而富有活力的眼镜企业.</w:t>
      </w:r>
    </w:p>
    <w:p>
      <w:pPr>
        <w:pStyle w:val="19"/>
        <w:spacing w:line="360" w:lineRule="auto"/>
        <w:jc w:val="left"/>
        <w:rPr>
          <w:rFonts w:ascii="宋体" w:hAnsi="宋体"/>
          <w:szCs w:val="24"/>
        </w:rPr>
      </w:pPr>
      <w:r>
        <w:rPr>
          <w:rFonts w:hint="eastAsia" w:ascii="宋体" w:hAnsi="宋体"/>
          <w:szCs w:val="24"/>
        </w:rPr>
        <w:t>公司主营儿童眼镜及太阳镜，多个系列，1000多个品种，选材考究、做工精细、款式新颖，畅销国内外，公司拥有先进的生产机器设备，凭借独特的产品设计理念、高品质产品和及时的出货率，赢得国内外客户一致好评。</w:t>
      </w:r>
    </w:p>
    <w:p>
      <w:pPr>
        <w:pStyle w:val="19"/>
        <w:spacing w:line="360" w:lineRule="auto"/>
        <w:jc w:val="left"/>
        <w:rPr>
          <w:rFonts w:ascii="宋体" w:hAnsi="宋体"/>
          <w:szCs w:val="24"/>
        </w:rPr>
      </w:pPr>
      <w:r>
        <w:rPr>
          <w:rFonts w:hint="eastAsia" w:ascii="宋体" w:hAnsi="宋体"/>
          <w:szCs w:val="24"/>
        </w:rPr>
        <w:t xml:space="preserve">佰利一直将保护儿童健康视力作为自己的首要责任，专注研究开发适合亚洲儿童、青少年的眼镜，在保护儿童健康视力的同时，让眼镜不再影响儿童的脸型发育，为儿童提供全方位的保护，拥有更舒适的佩戴体验。 </w:t>
      </w:r>
    </w:p>
    <w:p>
      <w:pPr>
        <w:pStyle w:val="19"/>
        <w:spacing w:line="360" w:lineRule="auto"/>
        <w:jc w:val="left"/>
        <w:rPr>
          <w:rFonts w:ascii="宋体" w:hAnsi="宋体"/>
          <w:szCs w:val="24"/>
        </w:rPr>
      </w:pPr>
      <w:r>
        <w:rPr>
          <w:rFonts w:hint="eastAsia" w:ascii="宋体" w:hAnsi="宋体"/>
          <w:szCs w:val="24"/>
        </w:rPr>
        <w:t xml:space="preserve">产品自上市销售便深受消费者的赞誉和好评，佰利全体员工对企业未来亦充满信心，相信佰利一定能赢得更广阔的市场和更美好的未来。 </w:t>
      </w:r>
    </w:p>
    <w:p>
      <w:pPr>
        <w:pStyle w:val="19"/>
        <w:spacing w:line="360" w:lineRule="auto"/>
        <w:ind w:firstLineChars="0"/>
        <w:jc w:val="left"/>
        <w:rPr>
          <w:rFonts w:ascii="宋体" w:hAnsi="宋体"/>
          <w:szCs w:val="24"/>
        </w:rPr>
      </w:pPr>
      <w:r>
        <w:rPr>
          <w:rFonts w:hint="eastAsia" w:ascii="宋体" w:hAnsi="宋体"/>
          <w:szCs w:val="24"/>
        </w:rPr>
        <w:t>全球经济一体化的趋势下，佰利佰利眼镜将继续深钻专业领域，提升自身技术高度，完善产品结构，忧化全球服务网络平台朝着拥有国际先进技术和文化的企业方向迈进！</w:t>
      </w:r>
    </w:p>
    <w:p>
      <w:pPr>
        <w:spacing w:line="400" w:lineRule="exact"/>
        <w:jc w:val="left"/>
        <w:rPr>
          <w:rFonts w:ascii="宋体" w:hAnsi="宋体"/>
          <w:b/>
          <w:bCs/>
          <w:sz w:val="28"/>
          <w:szCs w:val="24"/>
        </w:rPr>
      </w:pPr>
      <w:r>
        <w:rPr>
          <w:rFonts w:hint="eastAsia" w:ascii="宋体" w:hAnsi="宋体"/>
          <w:b/>
          <w:bCs/>
          <w:sz w:val="28"/>
          <w:szCs w:val="24"/>
        </w:rPr>
        <w:t>2.企业文化</w:t>
      </w:r>
    </w:p>
    <w:p>
      <w:pPr>
        <w:spacing w:line="600" w:lineRule="exact"/>
        <w:ind w:firstLine="420"/>
        <w:jc w:val="left"/>
        <w:rPr>
          <w:sz w:val="24"/>
          <w:szCs w:val="18"/>
        </w:rPr>
      </w:pPr>
      <w:bookmarkStart w:id="7" w:name="_Hlk24922071"/>
      <w:bookmarkStart w:id="8" w:name="_Hlk24613985"/>
      <w:r>
        <w:rPr>
          <w:rFonts w:hint="eastAsia"/>
          <w:sz w:val="24"/>
          <w:szCs w:val="18"/>
        </w:rPr>
        <w:t>公司的使命： 致力于提供安全、舒适、健康的儿童视力保护方案。</w:t>
      </w:r>
    </w:p>
    <w:p>
      <w:pPr>
        <w:spacing w:line="600" w:lineRule="exact"/>
        <w:ind w:firstLine="420"/>
        <w:jc w:val="left"/>
        <w:rPr>
          <w:sz w:val="24"/>
          <w:szCs w:val="18"/>
        </w:rPr>
      </w:pPr>
      <w:r>
        <w:rPr>
          <w:rFonts w:hint="eastAsia"/>
          <w:sz w:val="24"/>
          <w:szCs w:val="18"/>
        </w:rPr>
        <w:t>公司的愿景： 成为儿童眼镜行业领军企业。</w:t>
      </w:r>
    </w:p>
    <w:p>
      <w:pPr>
        <w:spacing w:line="600" w:lineRule="exact"/>
        <w:ind w:firstLine="420"/>
        <w:jc w:val="left"/>
        <w:rPr>
          <w:sz w:val="24"/>
          <w:szCs w:val="18"/>
          <w:highlight w:val="yellow"/>
        </w:rPr>
      </w:pPr>
      <w:r>
        <w:rPr>
          <w:rFonts w:hint="eastAsia"/>
          <w:sz w:val="24"/>
          <w:szCs w:val="18"/>
        </w:rPr>
        <w:t>核心价值观：客户至上 结果导向 团队合作 持续创新。</w:t>
      </w:r>
    </w:p>
    <w:bookmarkEnd w:id="7"/>
    <w:bookmarkEnd w:id="8"/>
    <w:p>
      <w:pPr>
        <w:spacing w:before="156" w:beforeLines="50" w:after="156" w:afterLines="50" w:line="360" w:lineRule="auto"/>
        <w:outlineLvl w:val="0"/>
        <w:rPr>
          <w:rFonts w:cs="Times New Roman" w:asciiTheme="majorEastAsia" w:hAnsiTheme="majorEastAsia" w:eastAsiaTheme="majorEastAsia"/>
          <w:b/>
          <w:color w:val="000000" w:themeColor="text1"/>
          <w:sz w:val="28"/>
          <w:szCs w:val="24"/>
          <w14:textFill>
            <w14:solidFill>
              <w14:schemeClr w14:val="tx1"/>
            </w14:solidFill>
          </w14:textFill>
        </w:rPr>
      </w:pPr>
      <w:r>
        <w:rPr>
          <w:rFonts w:hint="eastAsia" w:cs="Times New Roman" w:asciiTheme="majorEastAsia" w:hAnsiTheme="majorEastAsia" w:eastAsiaTheme="majorEastAsia"/>
          <w:b/>
          <w:color w:val="000000" w:themeColor="text1"/>
          <w:sz w:val="28"/>
          <w:szCs w:val="24"/>
          <w14:textFill>
            <w14:solidFill>
              <w14:schemeClr w14:val="tx1"/>
            </w14:solidFill>
          </w14:textFill>
        </w:rPr>
        <w:t>二、</w:t>
      </w:r>
      <w:r>
        <w:rPr>
          <w:rFonts w:cs="Times New Roman" w:asciiTheme="majorEastAsia" w:hAnsiTheme="majorEastAsia" w:eastAsiaTheme="majorEastAsia"/>
          <w:b/>
          <w:color w:val="000000" w:themeColor="text1"/>
          <w:sz w:val="28"/>
          <w:szCs w:val="24"/>
          <w14:textFill>
            <w14:solidFill>
              <w14:schemeClr w14:val="tx1"/>
            </w14:solidFill>
          </w14:textFill>
        </w:rPr>
        <w:t>组织架构</w:t>
      </w:r>
      <w:r>
        <w:rPr>
          <w:rFonts w:hint="eastAsia" w:cs="Times New Roman" w:asciiTheme="majorEastAsia" w:hAnsiTheme="majorEastAsia" w:eastAsiaTheme="majorEastAsia"/>
          <w:b/>
          <w:color w:val="000000" w:themeColor="text1"/>
          <w:sz w:val="28"/>
          <w:szCs w:val="24"/>
          <w14:textFill>
            <w14:solidFill>
              <w14:schemeClr w14:val="tx1"/>
            </w14:solidFill>
          </w14:textFill>
        </w:rPr>
        <w:t>及</w:t>
      </w:r>
      <w:r>
        <w:rPr>
          <w:rFonts w:cs="Times New Roman" w:asciiTheme="majorEastAsia" w:hAnsiTheme="majorEastAsia" w:eastAsiaTheme="majorEastAsia"/>
          <w:b/>
          <w:color w:val="000000" w:themeColor="text1"/>
          <w:sz w:val="28"/>
          <w:szCs w:val="24"/>
          <w14:textFill>
            <w14:solidFill>
              <w14:schemeClr w14:val="tx1"/>
            </w14:solidFill>
          </w14:textFill>
        </w:rPr>
        <w:t>主要产品</w:t>
      </w:r>
    </w:p>
    <w:p>
      <w:pPr>
        <w:spacing w:before="156" w:beforeLines="50" w:after="156" w:afterLines="50" w:line="360" w:lineRule="auto"/>
        <w:outlineLvl w:val="0"/>
        <w:rPr>
          <w:rFonts w:cs="Times New Roman" w:asciiTheme="majorEastAsia" w:hAnsiTheme="majorEastAsia" w:eastAsiaTheme="majorEastAsia"/>
          <w:b/>
          <w:color w:val="000000" w:themeColor="text1"/>
          <w:sz w:val="24"/>
          <w:szCs w:val="24"/>
          <w14:textFill>
            <w14:solidFill>
              <w14:schemeClr w14:val="tx1"/>
            </w14:solidFill>
          </w14:textFill>
        </w:rPr>
      </w:pPr>
      <w:r>
        <w:rPr>
          <w:rFonts w:cs="Times New Roman" w:asciiTheme="majorEastAsia" w:hAnsiTheme="majorEastAsia" w:eastAsiaTheme="majorEastAsia"/>
          <w:b/>
          <w:color w:val="000000" w:themeColor="text1"/>
          <w:sz w:val="24"/>
          <w:szCs w:val="24"/>
          <w14:textFill>
            <w14:solidFill>
              <w14:schemeClr w14:val="tx1"/>
            </w14:solidFill>
          </w14:textFill>
        </w:rPr>
        <w:t>1</w:t>
      </w:r>
      <w:r>
        <w:rPr>
          <w:rFonts w:hint="eastAsia" w:cs="Times New Roman" w:asciiTheme="majorEastAsia" w:hAnsiTheme="majorEastAsia" w:eastAsiaTheme="majorEastAsia"/>
          <w:b/>
          <w:color w:val="000000" w:themeColor="text1"/>
          <w:sz w:val="24"/>
          <w:szCs w:val="24"/>
          <w14:textFill>
            <w14:solidFill>
              <w14:schemeClr w14:val="tx1"/>
            </w14:solidFill>
          </w14:textFill>
        </w:rPr>
        <w:t>、组织</w:t>
      </w:r>
      <w:r>
        <w:rPr>
          <w:rFonts w:cs="Times New Roman" w:asciiTheme="majorEastAsia" w:hAnsiTheme="majorEastAsia" w:eastAsiaTheme="majorEastAsia"/>
          <w:b/>
          <w:color w:val="000000" w:themeColor="text1"/>
          <w:sz w:val="24"/>
          <w:szCs w:val="24"/>
          <w14:textFill>
            <w14:solidFill>
              <w14:schemeClr w14:val="tx1"/>
            </w14:solidFill>
          </w14:textFill>
        </w:rPr>
        <w:t>架构图</w:t>
      </w:r>
    </w:p>
    <w:p>
      <w:pPr>
        <w:pStyle w:val="47"/>
        <w:ind w:firstLine="0" w:firstLineChars="0"/>
        <w:jc w:val="center"/>
        <w:rPr>
          <w:rFonts w:asciiTheme="majorEastAsia" w:hAnsiTheme="majorEastAsia" w:eastAsiaTheme="majorEastAsia"/>
          <w:b/>
          <w:color w:val="000000" w:themeColor="text1"/>
          <w:szCs w:val="24"/>
          <w:lang w:val="en-US"/>
          <w14:textFill>
            <w14:solidFill>
              <w14:schemeClr w14:val="tx1"/>
            </w14:solidFill>
          </w14:textFill>
        </w:rPr>
      </w:pPr>
      <w:r>
        <w:rPr>
          <w:rFonts w:asciiTheme="majorEastAsia" w:hAnsiTheme="majorEastAsia" w:eastAsiaTheme="majorEastAsia"/>
          <w:b/>
          <w:color w:val="000000" w:themeColor="text1"/>
          <w:szCs w:val="24"/>
          <w:lang w:val="en-US"/>
          <w14:textFill>
            <w14:solidFill>
              <w14:schemeClr w14:val="tx1"/>
            </w14:solidFill>
          </w14:textFill>
        </w:rPr>
        <w:drawing>
          <wp:inline distT="0" distB="0" distL="0" distR="0">
            <wp:extent cx="4053840" cy="312991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61160" cy="3136080"/>
                    </a:xfrm>
                    <a:prstGeom prst="rect">
                      <a:avLst/>
                    </a:prstGeom>
                    <a:noFill/>
                    <a:ln>
                      <a:noFill/>
                    </a:ln>
                  </pic:spPr>
                </pic:pic>
              </a:graphicData>
            </a:graphic>
          </wp:inline>
        </w:drawing>
      </w:r>
    </w:p>
    <w:p>
      <w:pPr>
        <w:pStyle w:val="47"/>
        <w:ind w:firstLine="0" w:firstLineChars="0"/>
        <w:rPr>
          <w:rFonts w:asciiTheme="majorEastAsia" w:hAnsiTheme="majorEastAsia" w:eastAsiaTheme="majorEastAsia"/>
          <w:b/>
          <w:color w:val="000000" w:themeColor="text1"/>
          <w:szCs w:val="24"/>
          <w14:textFill>
            <w14:solidFill>
              <w14:schemeClr w14:val="tx1"/>
            </w14:solidFill>
          </w14:textFill>
        </w:rPr>
      </w:pPr>
    </w:p>
    <w:p>
      <w:pPr>
        <w:spacing w:before="156" w:beforeLines="50" w:after="156" w:afterLines="50" w:line="360" w:lineRule="auto"/>
        <w:outlineLvl w:val="0"/>
        <w:rPr>
          <w:rFonts w:cs="Times New Roman" w:asciiTheme="majorEastAsia" w:hAnsiTheme="majorEastAsia" w:eastAsiaTheme="majorEastAsia"/>
          <w:b/>
          <w:color w:val="000000" w:themeColor="text1"/>
          <w:sz w:val="24"/>
          <w:szCs w:val="24"/>
          <w14:textFill>
            <w14:solidFill>
              <w14:schemeClr w14:val="tx1"/>
            </w14:solidFill>
          </w14:textFill>
        </w:rPr>
      </w:pPr>
      <w:r>
        <w:rPr>
          <w:rFonts w:hint="eastAsia" w:cs="Times New Roman" w:asciiTheme="majorEastAsia" w:hAnsiTheme="majorEastAsia" w:eastAsiaTheme="majorEastAsia"/>
          <w:b/>
          <w:color w:val="000000" w:themeColor="text1"/>
          <w:sz w:val="24"/>
          <w:szCs w:val="24"/>
          <w14:textFill>
            <w14:solidFill>
              <w14:schemeClr w14:val="tx1"/>
            </w14:solidFill>
          </w14:textFill>
        </w:rPr>
        <w:t>2、</w:t>
      </w:r>
      <w:r>
        <w:rPr>
          <w:rFonts w:cs="Times New Roman" w:asciiTheme="majorEastAsia" w:hAnsiTheme="majorEastAsia" w:eastAsiaTheme="majorEastAsia"/>
          <w:b/>
          <w:color w:val="000000" w:themeColor="text1"/>
          <w:sz w:val="24"/>
          <w:szCs w:val="24"/>
          <w14:textFill>
            <w14:solidFill>
              <w14:schemeClr w14:val="tx1"/>
            </w14:solidFill>
          </w14:textFill>
        </w:rPr>
        <w:t>主要产品</w:t>
      </w:r>
    </w:p>
    <w:p>
      <w:pPr>
        <w:spacing w:line="600" w:lineRule="exact"/>
        <w:ind w:firstLine="480" w:firstLineChars="200"/>
        <w:jc w:val="left"/>
        <w:rPr>
          <w:sz w:val="24"/>
          <w:szCs w:val="18"/>
        </w:rPr>
      </w:pPr>
      <w:bookmarkStart w:id="9" w:name="_Hlk24620175"/>
      <w:r>
        <w:rPr>
          <w:rFonts w:hint="eastAsia"/>
          <w:sz w:val="24"/>
          <w:szCs w:val="18"/>
        </w:rPr>
        <w:t>公司主营儿童眼镜及太阳镜，多个系列，1000多个品种，选材考究、做工精细、款式新颖，畅销国内外，公司拥有先进的生产机器设备，凭借独特的产品设计理念、高品质产品和及时的出货率，赢得国内外客户一致好评。</w:t>
      </w:r>
    </w:p>
    <w:p>
      <w:pPr>
        <w:spacing w:line="600" w:lineRule="exact"/>
        <w:ind w:firstLine="480" w:firstLineChars="200"/>
        <w:jc w:val="left"/>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highlight w:val="yellow"/>
        </w:rPr>
        <w:t>主要产品图片如下：</w:t>
      </w:r>
      <w:bookmarkEnd w:id="9"/>
    </w:p>
    <w:p>
      <w:pPr>
        <w:spacing w:before="156" w:beforeLines="50" w:after="156" w:afterLines="50"/>
        <w:outlineLvl w:val="0"/>
        <w:rPr>
          <w:rFonts w:hint="eastAsia" w:cs="Times New Roman" w:asciiTheme="majorEastAsia" w:hAnsiTheme="majorEastAsia" w:eastAsiaTheme="majorEastAsia"/>
          <w:b/>
          <w:sz w:val="28"/>
          <w:szCs w:val="24"/>
          <w:lang w:eastAsia="zh-CN"/>
        </w:rPr>
      </w:pPr>
      <w:r>
        <w:rPr>
          <w:rFonts w:hint="eastAsia" w:cs="Times New Roman" w:asciiTheme="majorEastAsia" w:hAnsiTheme="majorEastAsia" w:eastAsiaTheme="majorEastAsia"/>
          <w:b/>
          <w:sz w:val="28"/>
          <w:szCs w:val="24"/>
          <w:lang w:eastAsia="zh-CN"/>
        </w:rPr>
        <w:drawing>
          <wp:inline distT="0" distB="0" distL="114300" distR="114300">
            <wp:extent cx="3616325" cy="2410460"/>
            <wp:effectExtent l="0" t="0" r="3175" b="8890"/>
            <wp:docPr id="4" name="图片 4" descr="714a307f8398bfc9665648902e5a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14a307f8398bfc9665648902e5a9c0"/>
                    <pic:cNvPicPr>
                      <a:picLocks noChangeAspect="1"/>
                    </pic:cNvPicPr>
                  </pic:nvPicPr>
                  <pic:blipFill>
                    <a:blip r:embed="rId6"/>
                    <a:stretch>
                      <a:fillRect/>
                    </a:stretch>
                  </pic:blipFill>
                  <pic:spPr>
                    <a:xfrm>
                      <a:off x="0" y="0"/>
                      <a:ext cx="3616325" cy="2410460"/>
                    </a:xfrm>
                    <a:prstGeom prst="rect">
                      <a:avLst/>
                    </a:prstGeom>
                  </pic:spPr>
                </pic:pic>
              </a:graphicData>
            </a:graphic>
          </wp:inline>
        </w:drawing>
      </w:r>
      <w:r>
        <w:rPr>
          <w:rFonts w:hint="eastAsia" w:cs="Times New Roman" w:asciiTheme="majorEastAsia" w:hAnsiTheme="majorEastAsia" w:eastAsiaTheme="majorEastAsia"/>
          <w:b/>
          <w:sz w:val="28"/>
          <w:szCs w:val="24"/>
          <w:lang w:eastAsia="zh-CN"/>
        </w:rPr>
        <w:drawing>
          <wp:inline distT="0" distB="0" distL="114300" distR="114300">
            <wp:extent cx="3662045" cy="2334895"/>
            <wp:effectExtent l="0" t="0" r="14605" b="8255"/>
            <wp:docPr id="6" name="图片 6" descr="aeca231aa62ac2f2d84cc537d5cd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eca231aa62ac2f2d84cc537d5cddba"/>
                    <pic:cNvPicPr>
                      <a:picLocks noChangeAspect="1"/>
                    </pic:cNvPicPr>
                  </pic:nvPicPr>
                  <pic:blipFill>
                    <a:blip r:embed="rId7"/>
                    <a:stretch>
                      <a:fillRect/>
                    </a:stretch>
                  </pic:blipFill>
                  <pic:spPr>
                    <a:xfrm>
                      <a:off x="0" y="0"/>
                      <a:ext cx="3662045" cy="2334895"/>
                    </a:xfrm>
                    <a:prstGeom prst="rect">
                      <a:avLst/>
                    </a:prstGeom>
                  </pic:spPr>
                </pic:pic>
              </a:graphicData>
            </a:graphic>
          </wp:inline>
        </w:drawing>
      </w:r>
      <w:r>
        <w:rPr>
          <w:rFonts w:hint="eastAsia" w:cs="Times New Roman" w:asciiTheme="majorEastAsia" w:hAnsiTheme="majorEastAsia" w:eastAsiaTheme="majorEastAsia"/>
          <w:b/>
          <w:sz w:val="28"/>
          <w:szCs w:val="24"/>
          <w:lang w:eastAsia="zh-CN"/>
        </w:rPr>
        <w:drawing>
          <wp:inline distT="0" distB="0" distL="114300" distR="114300">
            <wp:extent cx="3705860" cy="2498725"/>
            <wp:effectExtent l="0" t="0" r="8890" b="15875"/>
            <wp:docPr id="3" name="图片 3" descr="a8fdfdce915435ee24d7e4d2e839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8fdfdce915435ee24d7e4d2e839d60"/>
                    <pic:cNvPicPr>
                      <a:picLocks noChangeAspect="1"/>
                    </pic:cNvPicPr>
                  </pic:nvPicPr>
                  <pic:blipFill>
                    <a:blip r:embed="rId8"/>
                    <a:stretch>
                      <a:fillRect/>
                    </a:stretch>
                  </pic:blipFill>
                  <pic:spPr>
                    <a:xfrm>
                      <a:off x="0" y="0"/>
                      <a:ext cx="3705860" cy="2498725"/>
                    </a:xfrm>
                    <a:prstGeom prst="rect">
                      <a:avLst/>
                    </a:prstGeom>
                  </pic:spPr>
                </pic:pic>
              </a:graphicData>
            </a:graphic>
          </wp:inline>
        </w:drawing>
      </w:r>
    </w:p>
    <w:p>
      <w:pPr>
        <w:spacing w:before="156" w:beforeLines="50" w:after="156" w:afterLines="50"/>
        <w:outlineLvl w:val="0"/>
        <w:rPr>
          <w:rFonts w:hint="eastAsia" w:cs="Times New Roman" w:asciiTheme="majorEastAsia" w:hAnsiTheme="majorEastAsia" w:eastAsiaTheme="majorEastAsia"/>
          <w:b/>
          <w:sz w:val="28"/>
          <w:szCs w:val="24"/>
          <w:lang w:eastAsia="zh-CN"/>
        </w:rPr>
      </w:pPr>
      <w:r>
        <w:rPr>
          <w:rFonts w:hint="eastAsia" w:cs="Times New Roman" w:asciiTheme="majorEastAsia" w:hAnsiTheme="majorEastAsia" w:eastAsiaTheme="majorEastAsia"/>
          <w:b/>
          <w:sz w:val="28"/>
          <w:szCs w:val="24"/>
          <w:lang w:eastAsia="zh-CN"/>
        </w:rPr>
        <w:drawing>
          <wp:inline distT="0" distB="0" distL="114300" distR="114300">
            <wp:extent cx="3387725" cy="2009775"/>
            <wp:effectExtent l="0" t="0" r="3175" b="9525"/>
            <wp:docPr id="7" name="图片 7" descr="4d50a521357c7c9d93f37dcf2c28b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d50a521357c7c9d93f37dcf2c28b6d"/>
                    <pic:cNvPicPr>
                      <a:picLocks noChangeAspect="1"/>
                    </pic:cNvPicPr>
                  </pic:nvPicPr>
                  <pic:blipFill>
                    <a:blip r:embed="rId9"/>
                    <a:stretch>
                      <a:fillRect/>
                    </a:stretch>
                  </pic:blipFill>
                  <pic:spPr>
                    <a:xfrm>
                      <a:off x="0" y="0"/>
                      <a:ext cx="3387725" cy="2009775"/>
                    </a:xfrm>
                    <a:prstGeom prst="rect">
                      <a:avLst/>
                    </a:prstGeom>
                  </pic:spPr>
                </pic:pic>
              </a:graphicData>
            </a:graphic>
          </wp:inline>
        </w:drawing>
      </w:r>
      <w:r>
        <w:rPr>
          <w:rFonts w:hint="eastAsia" w:cs="Times New Roman" w:asciiTheme="majorEastAsia" w:hAnsiTheme="majorEastAsia" w:eastAsiaTheme="majorEastAsia"/>
          <w:b/>
          <w:sz w:val="28"/>
          <w:szCs w:val="24"/>
          <w:lang w:eastAsia="zh-CN"/>
        </w:rPr>
        <w:drawing>
          <wp:inline distT="0" distB="0" distL="114300" distR="114300">
            <wp:extent cx="3641090" cy="2085340"/>
            <wp:effectExtent l="0" t="0" r="16510" b="10160"/>
            <wp:docPr id="5" name="图片 5" descr="b2830df34f39128ac9e14388367e7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2830df34f39128ac9e14388367e7fe"/>
                    <pic:cNvPicPr>
                      <a:picLocks noChangeAspect="1"/>
                    </pic:cNvPicPr>
                  </pic:nvPicPr>
                  <pic:blipFill>
                    <a:blip r:embed="rId10"/>
                    <a:stretch>
                      <a:fillRect/>
                    </a:stretch>
                  </pic:blipFill>
                  <pic:spPr>
                    <a:xfrm>
                      <a:off x="0" y="0"/>
                      <a:ext cx="3641090" cy="2085340"/>
                    </a:xfrm>
                    <a:prstGeom prst="rect">
                      <a:avLst/>
                    </a:prstGeom>
                  </pic:spPr>
                </pic:pic>
              </a:graphicData>
            </a:graphic>
          </wp:inline>
        </w:drawing>
      </w:r>
    </w:p>
    <w:p>
      <w:pPr>
        <w:spacing w:before="156" w:beforeLines="50" w:after="156" w:afterLines="50"/>
        <w:outlineLvl w:val="0"/>
        <w:rPr>
          <w:rFonts w:cs="Times New Roman" w:asciiTheme="majorEastAsia" w:hAnsiTheme="majorEastAsia" w:eastAsiaTheme="majorEastAsia"/>
          <w:b/>
          <w:sz w:val="28"/>
          <w:szCs w:val="24"/>
        </w:rPr>
      </w:pPr>
      <w:r>
        <w:rPr>
          <w:rFonts w:hint="eastAsia" w:cs="Times New Roman" w:asciiTheme="majorEastAsia" w:hAnsiTheme="majorEastAsia" w:eastAsiaTheme="majorEastAsia"/>
          <w:b/>
          <w:sz w:val="28"/>
          <w:szCs w:val="24"/>
        </w:rPr>
        <w:t>三、经济责任</w:t>
      </w:r>
      <w:bookmarkEnd w:id="5"/>
      <w:bookmarkEnd w:id="6"/>
    </w:p>
    <w:p>
      <w:pPr>
        <w:spacing w:before="156" w:beforeLines="50" w:after="156" w:afterLines="50"/>
        <w:outlineLvl w:val="1"/>
        <w:rPr>
          <w:rFonts w:cs="Times New Roman" w:asciiTheme="majorEastAsia" w:hAnsiTheme="majorEastAsia" w:eastAsiaTheme="majorEastAsia"/>
          <w:b/>
          <w:sz w:val="24"/>
          <w:szCs w:val="24"/>
        </w:rPr>
      </w:pPr>
      <w:bookmarkStart w:id="10" w:name="_Toc451610985"/>
      <w:bookmarkStart w:id="11" w:name="_Toc451610892"/>
      <w:r>
        <w:rPr>
          <w:rFonts w:hint="eastAsia" w:cs="Times New Roman" w:asciiTheme="majorEastAsia" w:hAnsiTheme="majorEastAsia" w:eastAsiaTheme="majorEastAsia"/>
          <w:b/>
          <w:sz w:val="24"/>
          <w:szCs w:val="24"/>
        </w:rPr>
        <w:t>（一）战略方向</w:t>
      </w:r>
      <w:bookmarkEnd w:id="10"/>
      <w:bookmarkEnd w:id="11"/>
    </w:p>
    <w:p>
      <w:pPr>
        <w:pStyle w:val="51"/>
        <w:spacing w:line="360" w:lineRule="auto"/>
        <w:ind w:left="482" w:firstLine="0" w:firstLineChars="0"/>
        <w:rPr>
          <w:rFonts w:asciiTheme="majorEastAsia" w:hAnsiTheme="majorEastAsia" w:eastAsiaTheme="majorEastAsia"/>
          <w:b/>
          <w:bCs/>
          <w:szCs w:val="24"/>
        </w:rPr>
      </w:pPr>
      <w:r>
        <w:rPr>
          <w:rFonts w:hint="eastAsia" w:asciiTheme="majorEastAsia" w:hAnsiTheme="majorEastAsia" w:eastAsiaTheme="majorEastAsia"/>
          <w:b/>
          <w:sz w:val="24"/>
          <w:szCs w:val="24"/>
        </w:rPr>
        <w:t>1）</w:t>
      </w:r>
      <w:r>
        <w:rPr>
          <w:rFonts w:asciiTheme="majorEastAsia" w:hAnsiTheme="majorEastAsia" w:eastAsiaTheme="majorEastAsia"/>
          <w:b/>
          <w:sz w:val="24"/>
          <w:szCs w:val="24"/>
        </w:rPr>
        <w:t>长、中、短期主要战略目标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公司不断加大研发创新投入、加强研发创新力度，持续提升科技水平；</w:t>
      </w:r>
      <w:r>
        <w:rPr>
          <w:rFonts w:asciiTheme="minorEastAsia" w:hAnsiTheme="minorEastAsia"/>
          <w:sz w:val="24"/>
          <w:szCs w:val="24"/>
        </w:rPr>
        <w:t>继续</w:t>
      </w:r>
      <w:r>
        <w:rPr>
          <w:rFonts w:hint="eastAsia" w:asciiTheme="minorEastAsia" w:hAnsiTheme="minorEastAsia"/>
          <w:sz w:val="24"/>
          <w:szCs w:val="24"/>
        </w:rPr>
        <w:t>推进精益制造</w:t>
      </w:r>
      <w:r>
        <w:rPr>
          <w:rFonts w:asciiTheme="minorEastAsia" w:hAnsiTheme="minorEastAsia"/>
          <w:sz w:val="24"/>
          <w:szCs w:val="24"/>
        </w:rPr>
        <w:t>，</w:t>
      </w:r>
      <w:r>
        <w:rPr>
          <w:rFonts w:hint="eastAsia" w:asciiTheme="minorEastAsia" w:hAnsiTheme="minorEastAsia"/>
          <w:sz w:val="24"/>
          <w:szCs w:val="24"/>
        </w:rPr>
        <w:t>不断夯实提供优质产品的全面能力；建设发展公司品牌，开拓国内市场；建立生态供应链，关注上下游供应链健康；大力引进专业人才，提升公司经营各个环节的专业度；整合各方资源，</w:t>
      </w:r>
      <w:r>
        <w:rPr>
          <w:rFonts w:asciiTheme="minorEastAsia" w:hAnsiTheme="minorEastAsia"/>
          <w:sz w:val="24"/>
          <w:szCs w:val="24"/>
        </w:rPr>
        <w:t>大力</w:t>
      </w:r>
      <w:r>
        <w:rPr>
          <w:rFonts w:hint="eastAsia" w:asciiTheme="minorEastAsia" w:hAnsiTheme="minorEastAsia"/>
          <w:sz w:val="24"/>
          <w:szCs w:val="24"/>
        </w:rPr>
        <w:t>推行</w:t>
      </w:r>
      <w:r>
        <w:rPr>
          <w:rFonts w:asciiTheme="minorEastAsia" w:hAnsiTheme="minorEastAsia"/>
          <w:sz w:val="24"/>
          <w:szCs w:val="24"/>
        </w:rPr>
        <w:t>商业模式</w:t>
      </w:r>
      <w:r>
        <w:rPr>
          <w:rFonts w:hint="eastAsia" w:asciiTheme="minorEastAsia" w:hAnsiTheme="minorEastAsia"/>
          <w:sz w:val="24"/>
          <w:szCs w:val="24"/>
        </w:rPr>
        <w:t>创新</w:t>
      </w:r>
      <w:r>
        <w:rPr>
          <w:rFonts w:asciiTheme="minorEastAsia" w:hAnsiTheme="minorEastAsia"/>
          <w:sz w:val="24"/>
          <w:szCs w:val="24"/>
        </w:rPr>
        <w:t>和</w:t>
      </w:r>
      <w:r>
        <w:rPr>
          <w:rFonts w:hint="eastAsia" w:asciiTheme="minorEastAsia" w:hAnsiTheme="minorEastAsia"/>
          <w:sz w:val="24"/>
          <w:szCs w:val="24"/>
        </w:rPr>
        <w:t>管理模式创新</w:t>
      </w:r>
      <w:r>
        <w:rPr>
          <w:rFonts w:asciiTheme="minorEastAsia" w:hAnsiTheme="minorEastAsia"/>
          <w:sz w:val="24"/>
          <w:szCs w:val="24"/>
        </w:rPr>
        <w:t>，</w:t>
      </w:r>
      <w:r>
        <w:rPr>
          <w:rFonts w:hint="eastAsia" w:asciiTheme="minorEastAsia" w:hAnsiTheme="minorEastAsia"/>
          <w:sz w:val="24"/>
          <w:szCs w:val="24"/>
        </w:rPr>
        <w:t>为成为行业龙头企业而努力</w:t>
      </w:r>
      <w:r>
        <w:rPr>
          <w:rFonts w:asciiTheme="minorEastAsia" w:hAnsiTheme="minorEastAsia"/>
          <w:sz w:val="24"/>
          <w:szCs w:val="24"/>
        </w:rPr>
        <w:t>。</w:t>
      </w:r>
    </w:p>
    <w:p>
      <w:pPr>
        <w:pStyle w:val="51"/>
        <w:spacing w:line="360" w:lineRule="auto"/>
        <w:ind w:left="482" w:firstLine="0" w:firstLineChars="0"/>
        <w:rPr>
          <w:rFonts w:asciiTheme="majorEastAsia" w:hAnsiTheme="majorEastAsia" w:eastAsiaTheme="majorEastAsia"/>
          <w:b/>
          <w:sz w:val="24"/>
          <w:szCs w:val="24"/>
        </w:rPr>
      </w:pPr>
      <w:r>
        <w:rPr>
          <w:rFonts w:hint="eastAsia" w:asciiTheme="majorEastAsia" w:hAnsiTheme="majorEastAsia" w:eastAsiaTheme="majorEastAsia"/>
          <w:b/>
          <w:sz w:val="24"/>
          <w:szCs w:val="24"/>
        </w:rPr>
        <w:t>2）</w:t>
      </w:r>
      <w:r>
        <w:rPr>
          <w:rFonts w:asciiTheme="majorEastAsia" w:hAnsiTheme="majorEastAsia" w:eastAsiaTheme="majorEastAsia"/>
          <w:b/>
          <w:sz w:val="24"/>
          <w:szCs w:val="24"/>
        </w:rPr>
        <w:t>战略发展方向及目标</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1、大力推行全员改善，持续提升运营效率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继续推进全员改善的广度和深度，全面减少七大浪费，激励全体员工在更广泛、更深层次的领域实施全员改善提案，保持持续改善机制的规范运作，形成持续改善的文化氛围，达到提升产品质量、改进现场管理、消除安全隐患、降低运营成本、提高劳动效率的目的，为制造出高性价比、高质量、耐用可靠的产品提供保障。</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2、继续加大研发投入，提升产品技术水平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公司战略规划和发展阶段，继续完善公司技术创新体系，加强基础研发条件建设，建立以公司经营战略为目标，以市场需求为导向的信息沟通机制。继续加大研发投入，加强市场调研活动，研究国内外消费者需求趋势，确保研发项目按时有序推进，实现突破。</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3、持续引进优秀人才，加大内部人才培养力度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革新、提升、转变的主题下，公司始终坚持认为人才是公司持续成长的基石，始终保持开放的人才观，大力引进优秀人才，并创造有利的条件使其能够发挥最大的作用。加强价值观引导，开展批评与自我批评，鼓励员工勇于创新、积极改善，并鼓励员工自主学习、不断进步。同时加大对内部人才的培训力度，使其适应公司快速发展的步伐，发挥老员工的积极作用。</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4、用好中国市场，创建品牌和渠道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随着国内经济的发展，国内对眼镜产品的需求也越来越大。公司将在原有线上线下内销的基础上，精细布局在品牌、渠道和团队方面的发展计划，建立公司自己的品牌和销售渠道，加大国内市场的推进力度，努力提高品牌知名度。公司将加大调研力度，迎合中国消费群体的需求，积极研发设计适合中国市场的产品。</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5、增强产业链服务意识，努力达到合作共赢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的上游供应商供货质量和供货速度是公司为下游客户提供优质产品和服务的基础，公司将建立相应的制度，引进相应的管理人才，帮助供应商提高管理水平和生产能力，协同供应商共同进步；公司以“成就客户”为唯一存在的理由，想客户所想，做客户所需，加大对消费者需求的研究，积极开发设计符合客户预期的产品。</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6、深化内控管理，加强风险控制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深化内控体系建设，进一步强化内部审计经济监督职能，持续推进风险管理融入整个经营管理流程。强化公司管理目标，完善和优化公司管理流程，提升公司经营效果和效率。</w:t>
      </w:r>
    </w:p>
    <w:p>
      <w:pPr>
        <w:spacing w:before="156" w:beforeLines="50" w:after="156" w:afterLines="50" w:line="360" w:lineRule="auto"/>
        <w:outlineLvl w:val="1"/>
        <w:rPr>
          <w:rFonts w:asciiTheme="minorEastAsia" w:hAnsiTheme="minorEastAsia"/>
          <w:sz w:val="24"/>
          <w:szCs w:val="24"/>
        </w:rPr>
      </w:pPr>
      <w:bookmarkStart w:id="12" w:name="_Toc451610986"/>
      <w:bookmarkStart w:id="13" w:name="_Toc451610893"/>
      <w:r>
        <w:rPr>
          <w:rFonts w:hint="eastAsia" w:cs="Times New Roman" w:asciiTheme="majorEastAsia" w:hAnsiTheme="majorEastAsia" w:eastAsiaTheme="majorEastAsia"/>
          <w:b/>
          <w:sz w:val="24"/>
          <w:szCs w:val="24"/>
        </w:rPr>
        <w:t>（二）市场业绩</w:t>
      </w:r>
      <w:bookmarkEnd w:id="12"/>
      <w:bookmarkEnd w:id="13"/>
    </w:p>
    <w:p>
      <w:pPr>
        <w:tabs>
          <w:tab w:val="left" w:pos="142"/>
        </w:tabs>
        <w:spacing w:before="156" w:beforeLines="50" w:after="156" w:afterLines="50"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）市场地位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浙江佰利眼镜有限公司佰利一直将保护儿童健康视力作为自己的首要责任，专注研究开发适合亚洲儿童、青少年的眼镜，在保护儿童健康视力的同时，让眼镜不再影响儿童的脸型发育，为儿童提供全方位的保护，拥有更舒适的佩戴体验。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产品自上市销售便深受消费者的赞誉和好评，佰利全体员工对企业未来亦充满信心，相信佰利一定能赢得更广阔的市场和更美好的未来。</w:t>
      </w:r>
    </w:p>
    <w:p>
      <w:pPr>
        <w:tabs>
          <w:tab w:val="left" w:pos="142"/>
        </w:tabs>
        <w:spacing w:before="156" w:beforeLines="50" w:after="156" w:afterLines="50"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）业务增长和新增市场</w:t>
      </w:r>
    </w:p>
    <w:p>
      <w:pPr>
        <w:spacing w:line="360" w:lineRule="auto"/>
        <w:ind w:firstLine="600" w:firstLineChars="250"/>
        <w:rPr>
          <w:rFonts w:asciiTheme="minorEastAsia" w:hAnsiTheme="minorEastAsia"/>
          <w:sz w:val="24"/>
          <w:szCs w:val="24"/>
        </w:rPr>
      </w:pPr>
      <w:r>
        <w:rPr>
          <w:rFonts w:hint="eastAsia" w:asciiTheme="minorEastAsia" w:hAnsiTheme="minorEastAsia"/>
          <w:sz w:val="24"/>
          <w:szCs w:val="24"/>
        </w:rPr>
        <w:t>公司加强市场网络建设，以“创新破难，扩大规模增实力”的理念为指导思想，立足于公司的技术优势，继续维护好原有经销商的服务工作，利用品牌优势，坚持长期业务持续发展的指导方针、扩张市场份额。</w:t>
      </w:r>
    </w:p>
    <w:p>
      <w:pPr>
        <w:spacing w:before="156" w:beforeLines="50" w:after="156" w:afterLines="50" w:line="276" w:lineRule="auto"/>
        <w:rPr>
          <w:rFonts w:ascii="宋体" w:hAnsi="宋体"/>
          <w:b/>
          <w:sz w:val="24"/>
          <w:szCs w:val="24"/>
        </w:rPr>
      </w:pPr>
      <w:r>
        <w:rPr>
          <w:rFonts w:hint="eastAsia" w:cs="Times New Roman" w:asciiTheme="majorEastAsia" w:hAnsiTheme="majorEastAsia" w:eastAsiaTheme="majorEastAsia"/>
          <w:b/>
          <w:sz w:val="24"/>
          <w:szCs w:val="24"/>
        </w:rPr>
        <w:t>四、</w:t>
      </w:r>
      <w:r>
        <w:rPr>
          <w:rFonts w:hint="eastAsia" w:ascii="宋体" w:hAnsi="宋体"/>
          <w:b/>
          <w:sz w:val="24"/>
          <w:szCs w:val="24"/>
        </w:rPr>
        <w:t>管理责任：</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1、管理层的</w:t>
      </w:r>
      <w:r>
        <w:rPr>
          <w:rFonts w:ascii="宋体" w:hAnsi="宋体"/>
          <w:b/>
          <w:sz w:val="24"/>
          <w:szCs w:val="24"/>
        </w:rPr>
        <w:t>经营责任</w:t>
      </w:r>
    </w:p>
    <w:p>
      <w:pPr>
        <w:spacing w:before="156" w:beforeLines="50" w:after="156" w:afterLines="50" w:line="360" w:lineRule="auto"/>
        <w:ind w:firstLine="424" w:firstLineChars="177"/>
        <w:rPr>
          <w:rFonts w:ascii="宋体" w:hAnsi="宋体"/>
          <w:sz w:val="24"/>
        </w:rPr>
      </w:pPr>
      <w:bookmarkStart w:id="14" w:name="_Toc230143126"/>
      <w:bookmarkStart w:id="15" w:name="_Toc211149629"/>
      <w:r>
        <w:rPr>
          <w:rFonts w:hint="eastAsia" w:ascii="宋体" w:hAnsi="宋体"/>
          <w:sz w:val="24"/>
        </w:rPr>
        <w:t>公司已实行经营责任制，董事长每年给公司管理层下达经营指标，要求定期汇报公司的经营情况，包括生产、销售、资产运行、税务、利润等有关情况，每年对经营者进行一次考核。高层领导又把经营责任层层分解给下属各部门，每年对各部门进行业绩考核。</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2、</w:t>
      </w:r>
      <w:r>
        <w:rPr>
          <w:rFonts w:ascii="宋体" w:hAnsi="宋体"/>
          <w:b/>
          <w:sz w:val="24"/>
          <w:szCs w:val="24"/>
        </w:rPr>
        <w:t>财务方面的责任</w:t>
      </w:r>
      <w:bookmarkEnd w:id="14"/>
      <w:bookmarkEnd w:id="15"/>
    </w:p>
    <w:p>
      <w:pPr>
        <w:spacing w:line="360" w:lineRule="auto"/>
        <w:ind w:firstLine="480" w:firstLineChars="200"/>
        <w:rPr>
          <w:rFonts w:ascii="宋体" w:hAnsi="宋体"/>
          <w:sz w:val="24"/>
        </w:rPr>
      </w:pPr>
      <w:bookmarkStart w:id="16" w:name="_Toc230143127"/>
      <w:bookmarkStart w:id="17" w:name="_Toc211149630"/>
      <w:r>
        <w:rPr>
          <w:rFonts w:hint="eastAsia" w:ascii="宋体" w:hAnsi="宋体"/>
          <w:sz w:val="24"/>
        </w:rPr>
        <w:t>公司依据国家会计准则以及相关法律法规要求，建立健全了包括资产管理、资金管理、技术开发费用管理、成本核算规范、财务报告管理规范等规章制度。公司按照董事会要求进行财务预算和决算，建立了全面的财务报表体系，按月编制和上报各类财务会计报表。对公司重大投资决策和经营活动进行财务分析，规避公司经营风险。</w:t>
      </w:r>
    </w:p>
    <w:p>
      <w:pPr>
        <w:spacing w:line="360" w:lineRule="auto"/>
        <w:ind w:firstLine="480" w:firstLineChars="200"/>
        <w:rPr>
          <w:rFonts w:ascii="宋体" w:hAnsi="宋体"/>
          <w:sz w:val="24"/>
        </w:rPr>
      </w:pPr>
      <w:r>
        <w:rPr>
          <w:rFonts w:hint="eastAsia" w:ascii="宋体" w:hAnsi="宋体"/>
          <w:sz w:val="24"/>
        </w:rPr>
        <w:t>根据公司相关财务管理制度，公司完善内控制度，强化内部制约制度，所有业务均须由经办人注明事由，部门负责人审核和公司领导审批，以确认其真实性和合法性，财务部严格把关。公司各类费用支出严格按规定权限进行审批。对重大项目建设资金支出，按项目实施计划和工程进度，由项目执行负责人审核，分管领导签署确认意见，财务部门严格把关。</w:t>
      </w:r>
    </w:p>
    <w:bookmarkEnd w:id="16"/>
    <w:bookmarkEnd w:id="17"/>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3、运营的透明性</w:t>
      </w:r>
    </w:p>
    <w:p>
      <w:pPr>
        <w:adjustRightInd w:val="0"/>
        <w:spacing w:line="360" w:lineRule="auto"/>
        <w:ind w:firstLine="480" w:firstLineChars="200"/>
        <w:rPr>
          <w:rFonts w:ascii="宋体" w:hAnsi="宋体"/>
          <w:color w:val="000000"/>
          <w:sz w:val="24"/>
        </w:rPr>
      </w:pPr>
      <w:r>
        <w:rPr>
          <w:rFonts w:hint="eastAsia" w:ascii="宋体" w:hAnsi="宋体"/>
          <w:color w:val="000000"/>
          <w:sz w:val="24"/>
        </w:rPr>
        <w:t>佰利注重经营信息的透明和共享，人事任免、质量问题、先进方法、员工奖励等也都会定期在宣传栏中发布，广泛听取员工意见建议。</w:t>
      </w:r>
    </w:p>
    <w:p>
      <w:pPr>
        <w:spacing w:before="156" w:beforeLines="50" w:after="156" w:afterLines="50" w:line="276" w:lineRule="auto"/>
        <w:ind w:firstLine="426" w:firstLineChars="177"/>
        <w:rPr>
          <w:rFonts w:ascii="宋体" w:hAnsi="宋体"/>
          <w:b/>
          <w:sz w:val="24"/>
          <w:szCs w:val="24"/>
        </w:rPr>
      </w:pPr>
      <w:bookmarkStart w:id="18" w:name="_Toc211149631"/>
      <w:bookmarkStart w:id="19" w:name="_Toc230143129"/>
      <w:r>
        <w:rPr>
          <w:rFonts w:hint="eastAsia" w:ascii="宋体" w:hAnsi="宋体"/>
          <w:b/>
          <w:sz w:val="24"/>
          <w:szCs w:val="24"/>
        </w:rPr>
        <w:t>4、</w:t>
      </w:r>
      <w:r>
        <w:rPr>
          <w:rFonts w:ascii="宋体" w:hAnsi="宋体"/>
          <w:b/>
          <w:sz w:val="24"/>
          <w:szCs w:val="24"/>
        </w:rPr>
        <w:t>利益的保护</w:t>
      </w:r>
      <w:bookmarkEnd w:id="18"/>
      <w:bookmarkEnd w:id="19"/>
    </w:p>
    <w:p>
      <w:pPr>
        <w:adjustRightInd w:val="0"/>
        <w:spacing w:line="360" w:lineRule="auto"/>
        <w:ind w:firstLine="420"/>
        <w:rPr>
          <w:rFonts w:ascii="宋体" w:hAnsi="宋体"/>
          <w:color w:val="000000"/>
          <w:sz w:val="24"/>
        </w:rPr>
      </w:pPr>
      <w:r>
        <w:rPr>
          <w:rFonts w:ascii="宋体" w:hAnsi="宋体"/>
          <w:sz w:val="24"/>
        </w:rPr>
        <w:t>公司一贯坚持互利共赢的经营理念，并通过各种方式实现对顾客</w:t>
      </w:r>
      <w:r>
        <w:rPr>
          <w:rFonts w:hint="eastAsia" w:ascii="宋体" w:hAnsi="宋体"/>
          <w:sz w:val="24"/>
        </w:rPr>
        <w:t>、供应商</w:t>
      </w:r>
      <w:r>
        <w:rPr>
          <w:rFonts w:ascii="宋体" w:hAnsi="宋体"/>
          <w:sz w:val="24"/>
        </w:rPr>
        <w:t>等方面利益的负责，具体见表</w:t>
      </w:r>
      <w:r>
        <w:rPr>
          <w:rFonts w:hint="eastAsia" w:ascii="宋体" w:hAnsi="宋体"/>
          <w:sz w:val="24"/>
        </w:rPr>
        <w:t>5-1</w:t>
      </w:r>
      <w:r>
        <w:rPr>
          <w:rFonts w:ascii="宋体" w:hAnsi="宋体"/>
          <w:color w:val="000000"/>
          <w:sz w:val="24"/>
        </w:rPr>
        <w:t>。</w:t>
      </w:r>
    </w:p>
    <w:p>
      <w:pPr>
        <w:pStyle w:val="79"/>
        <w:spacing w:before="120"/>
        <w:jc w:val="center"/>
        <w:rPr>
          <w:rFonts w:ascii="宋体" w:hAnsi="宋体"/>
        </w:rPr>
      </w:pPr>
      <w:bookmarkStart w:id="20" w:name="_Ref326703132"/>
      <w:r>
        <w:rPr>
          <w:rFonts w:hint="eastAsia" w:ascii="宋体" w:hAnsi="宋体"/>
        </w:rPr>
        <w:t>表5-</w:t>
      </w:r>
      <w:bookmarkEnd w:id="20"/>
      <w:r>
        <w:rPr>
          <w:rFonts w:hint="eastAsia" w:ascii="宋体" w:hAnsi="宋体"/>
        </w:rPr>
        <w:t xml:space="preserve">1 </w:t>
      </w:r>
      <w:r>
        <w:rPr>
          <w:rFonts w:ascii="宋体" w:hAnsi="宋体"/>
        </w:rPr>
        <w:t>各相关方利益保护措施</w:t>
      </w:r>
    </w:p>
    <w:tbl>
      <w:tblPr>
        <w:tblStyle w:val="38"/>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42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shd w:val="clear" w:color="auto" w:fill="A8D08D" w:themeFill="accent6" w:themeFillTint="99"/>
            <w:vAlign w:val="center"/>
          </w:tcPr>
          <w:p>
            <w:pPr>
              <w:spacing w:line="276" w:lineRule="auto"/>
              <w:jc w:val="center"/>
              <w:rPr>
                <w:rFonts w:ascii="宋体" w:hAnsi="宋体" w:cs="Courier New"/>
                <w:b/>
                <w:szCs w:val="18"/>
              </w:rPr>
            </w:pPr>
            <w:r>
              <w:rPr>
                <w:rFonts w:hint="eastAsia" w:ascii="宋体" w:hAnsi="宋体" w:cs="Courier New"/>
                <w:b/>
                <w:szCs w:val="18"/>
              </w:rPr>
              <w:t>主要相关方</w:t>
            </w:r>
          </w:p>
        </w:tc>
        <w:tc>
          <w:tcPr>
            <w:tcW w:w="5420" w:type="dxa"/>
            <w:shd w:val="clear" w:color="auto" w:fill="A8D08D" w:themeFill="accent6" w:themeFillTint="99"/>
            <w:vAlign w:val="center"/>
          </w:tcPr>
          <w:p>
            <w:pPr>
              <w:spacing w:line="276" w:lineRule="auto"/>
              <w:jc w:val="center"/>
              <w:rPr>
                <w:rFonts w:ascii="宋体" w:hAnsi="宋体" w:cs="Courier New"/>
                <w:b/>
                <w:szCs w:val="18"/>
              </w:rPr>
            </w:pPr>
            <w:r>
              <w:rPr>
                <w:rFonts w:hint="eastAsia" w:ascii="宋体" w:hAnsi="宋体" w:cs="Courier New"/>
                <w:b/>
                <w:szCs w:val="18"/>
              </w:rPr>
              <w:t>具体措施</w:t>
            </w:r>
          </w:p>
        </w:tc>
        <w:tc>
          <w:tcPr>
            <w:tcW w:w="2009" w:type="dxa"/>
            <w:shd w:val="clear" w:color="auto" w:fill="A8D08D" w:themeFill="accent6" w:themeFillTint="99"/>
            <w:vAlign w:val="center"/>
          </w:tcPr>
          <w:p>
            <w:pPr>
              <w:spacing w:line="276" w:lineRule="auto"/>
              <w:jc w:val="center"/>
              <w:rPr>
                <w:rFonts w:ascii="宋体" w:hAnsi="宋体" w:cs="Courier New"/>
                <w:b/>
                <w:szCs w:val="18"/>
              </w:rPr>
            </w:pPr>
            <w:r>
              <w:rPr>
                <w:rFonts w:hint="eastAsia" w:ascii="宋体" w:hAnsi="宋体" w:cs="Courier New"/>
                <w:b/>
                <w:szCs w:val="18"/>
              </w:rPr>
              <w:t>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顾客</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明确顾客需要，细分和选择顾客对象。2、降低顾客成本，给客户带来各种便利及实现有效沟通。3、提高产品的价值和质量，保护顾客的利益等。4、在资源有效的情况下，优先保证重点顾客的交货期。5、加强对客户的服务职能，提高顾客满意度。</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政府及社会公众</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依法纳税，绝不逃税漏税。2、公司决不生产和销售伪劣产品，也不哄抬物价或实行垄断价格对社会公众负责。3、推行“清洁生产”、“节能减排”、“绿色制造”等。4、设立救助奖励资金，支持贫困大学生及奖励优秀学生。</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慈善捐款额、上缴税收额等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供应商及代理商</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1、将“流程透明、集约双赢”等定为公司的采购方针，保障供方的利润空间等。2、按时建立了清晰的供应商接口、多渠道的计划和复审过程来确保供应商符合要求，使质量、成本、准时交付都得到了满足。</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采购交期达成率等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员工</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1、关心员工生活，使员工有归宿感。2、增加员工工资。3、改善生活环境。4、改善员工福利。5、开展各种文娱活动，改善员工生活。</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员工投诉次数及投诉处理的及时性、培训次数、员工收入增长率等</w:t>
            </w:r>
          </w:p>
        </w:tc>
      </w:tr>
    </w:tbl>
    <w:p>
      <w:pPr>
        <w:tabs>
          <w:tab w:val="left" w:pos="10080"/>
        </w:tabs>
        <w:snapToGrid w:val="0"/>
        <w:spacing w:line="240" w:lineRule="atLeast"/>
        <w:ind w:right="25" w:rightChars="12"/>
        <w:rPr>
          <w:b/>
          <w:szCs w:val="21"/>
        </w:rPr>
      </w:pPr>
    </w:p>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14:textFill>
            <w14:solidFill>
              <w14:schemeClr w14:val="tx1"/>
            </w14:solidFill>
          </w14:textFill>
        </w:rPr>
      </w:pPr>
      <w:bookmarkStart w:id="21" w:name="_Toc451610988"/>
      <w:bookmarkStart w:id="22" w:name="_Toc451610895"/>
      <w:r>
        <w:rPr>
          <w:rFonts w:hint="eastAsia" w:cs="Times New Roman" w:asciiTheme="majorEastAsia" w:hAnsiTheme="majorEastAsia" w:eastAsiaTheme="majorEastAsia"/>
          <w:b/>
          <w:color w:val="000000" w:themeColor="text1"/>
          <w:sz w:val="28"/>
          <w:szCs w:val="24"/>
          <w14:textFill>
            <w14:solidFill>
              <w14:schemeClr w14:val="tx1"/>
            </w14:solidFill>
          </w14:textFill>
        </w:rPr>
        <w:t>四、社会责任</w:t>
      </w:r>
      <w:bookmarkEnd w:id="21"/>
      <w:bookmarkEnd w:id="22"/>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14:textFill>
            <w14:solidFill>
              <w14:schemeClr w14:val="tx1"/>
            </w14:solidFill>
          </w14:textFill>
        </w:rPr>
      </w:pPr>
      <w:bookmarkStart w:id="23" w:name="_Toc451610896"/>
      <w:bookmarkStart w:id="24" w:name="_Toc451610989"/>
      <w:r>
        <w:rPr>
          <w:rFonts w:hint="eastAsia" w:cs="Times New Roman" w:asciiTheme="majorEastAsia" w:hAnsiTheme="majorEastAsia" w:eastAsiaTheme="majorEastAsia"/>
          <w:b/>
          <w:color w:val="000000" w:themeColor="text1"/>
          <w:sz w:val="24"/>
          <w:szCs w:val="24"/>
          <w14:textFill>
            <w14:solidFill>
              <w14:schemeClr w14:val="tx1"/>
            </w14:solidFill>
          </w14:textFill>
        </w:rPr>
        <w:t>（一）诚信守法</w:t>
      </w:r>
      <w:bookmarkEnd w:id="23"/>
      <w:bookmarkEnd w:id="24"/>
    </w:p>
    <w:p>
      <w:pPr>
        <w:spacing w:before="100" w:after="100" w:line="360" w:lineRule="auto"/>
        <w:ind w:firstLine="600" w:firstLineChars="250"/>
        <w:rPr>
          <w:rFonts w:cs="Times New Roman" w:asciiTheme="minorEastAsia" w:hAnsiTheme="minorEastAsia"/>
          <w:sz w:val="24"/>
          <w:szCs w:val="24"/>
        </w:rPr>
      </w:pPr>
      <w:r>
        <w:rPr>
          <w:rFonts w:cs="Times New Roman" w:asciiTheme="minorEastAsia" w:hAnsiTheme="minorEastAsia"/>
          <w:sz w:val="24"/>
          <w:szCs w:val="24"/>
        </w:rPr>
        <w:t>高层领导遵循“依法经营、诚信经营”的管理理念，严格遵循《公司法》、《经济法》、《合同法》、《产品质量法》、《安全生产法》、《环保法》、《劳动法》以及</w:t>
      </w:r>
      <w:r>
        <w:rPr>
          <w:rFonts w:hint="eastAsia" w:cs="Times New Roman" w:asciiTheme="minorEastAsia" w:hAnsiTheme="minorEastAsia"/>
          <w:sz w:val="24"/>
          <w:szCs w:val="24"/>
        </w:rPr>
        <w:t>材料</w:t>
      </w:r>
      <w:r>
        <w:rPr>
          <w:rFonts w:cs="Times New Roman" w:asciiTheme="minorEastAsia" w:hAnsiTheme="minorEastAsia"/>
          <w:sz w:val="24"/>
          <w:szCs w:val="24"/>
        </w:rPr>
        <w:t>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14:textFill>
            <w14:solidFill>
              <w14:schemeClr w14:val="tx1"/>
            </w14:solidFill>
          </w14:textFill>
        </w:rPr>
      </w:pPr>
      <w:bookmarkStart w:id="25" w:name="_Toc451610897"/>
      <w:bookmarkStart w:id="26" w:name="_Toc451610990"/>
      <w:r>
        <w:rPr>
          <w:rFonts w:hint="eastAsia" w:cs="Times New Roman" w:asciiTheme="majorEastAsia" w:hAnsiTheme="majorEastAsia" w:eastAsiaTheme="majorEastAsia"/>
          <w:b/>
          <w:color w:val="000000" w:themeColor="text1"/>
          <w:sz w:val="24"/>
          <w:szCs w:val="24"/>
          <w14:textFill>
            <w14:solidFill>
              <w14:schemeClr w14:val="tx1"/>
            </w14:solidFill>
          </w14:textFill>
        </w:rPr>
        <w:t>（二）质量安全</w:t>
      </w:r>
      <w:bookmarkEnd w:id="25"/>
      <w:bookmarkEnd w:id="26"/>
    </w:p>
    <w:p>
      <w:pPr>
        <w:topLinePunct/>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公司制定常规产品生产运行控制流程，做到每一个环节严格控制，严格把关，确保每个</w:t>
      </w:r>
      <w:r>
        <w:rPr>
          <w:rFonts w:hint="eastAsia" w:cs="Times New Roman" w:asciiTheme="minorEastAsia" w:hAnsiTheme="minorEastAsia"/>
          <w:sz w:val="24"/>
          <w:szCs w:val="24"/>
        </w:rPr>
        <w:t>产品</w:t>
      </w:r>
      <w:r>
        <w:rPr>
          <w:rFonts w:cs="Times New Roman" w:asciiTheme="minorEastAsia" w:hAnsiTheme="minorEastAsia"/>
          <w:sz w:val="24"/>
          <w:szCs w:val="24"/>
        </w:rPr>
        <w:t>的生产都符合相关要求，确保最终产品质量的合格。公司还运用三检制，即自检、抽检、质量监察小组对产品质量进行严格把控。其中自检包括产品自检和</w:t>
      </w:r>
      <w:r>
        <w:rPr>
          <w:rFonts w:hint="eastAsia" w:cs="Times New Roman" w:asciiTheme="minorEastAsia" w:hAnsiTheme="minorEastAsia"/>
          <w:sz w:val="24"/>
          <w:szCs w:val="24"/>
        </w:rPr>
        <w:t>后整理</w:t>
      </w:r>
      <w:r>
        <w:rPr>
          <w:rFonts w:cs="Times New Roman" w:asciiTheme="minorEastAsia" w:hAnsiTheme="minorEastAsia"/>
          <w:sz w:val="24"/>
          <w:szCs w:val="24"/>
        </w:rPr>
        <w:t>自检，产品自检是指员工对自己所生产出来的产品，按照</w:t>
      </w:r>
      <w:r>
        <w:rPr>
          <w:rFonts w:hint="eastAsia" w:cs="Times New Roman" w:asciiTheme="minorEastAsia" w:hAnsiTheme="minorEastAsia"/>
          <w:sz w:val="24"/>
          <w:szCs w:val="24"/>
        </w:rPr>
        <w:t>生产工艺单的</w:t>
      </w:r>
      <w:r>
        <w:rPr>
          <w:rFonts w:cs="Times New Roman" w:asciiTheme="minorEastAsia" w:hAnsiTheme="minorEastAsia"/>
          <w:sz w:val="24"/>
          <w:szCs w:val="24"/>
        </w:rPr>
        <w:t>要求自行进行检验，并作出是否合格的判定且在《自检单》上做好相关的自检记录；</w:t>
      </w:r>
      <w:r>
        <w:rPr>
          <w:rFonts w:hint="eastAsia" w:cs="Times New Roman" w:asciiTheme="minorEastAsia" w:hAnsiTheme="minorEastAsia"/>
          <w:sz w:val="24"/>
          <w:szCs w:val="24"/>
        </w:rPr>
        <w:t>后整理</w:t>
      </w:r>
      <w:r>
        <w:rPr>
          <w:rFonts w:cs="Times New Roman" w:asciiTheme="minorEastAsia" w:hAnsiTheme="minorEastAsia"/>
          <w:sz w:val="24"/>
          <w:szCs w:val="24"/>
        </w:rPr>
        <w:t>自检涵盖</w:t>
      </w:r>
      <w:r>
        <w:rPr>
          <w:rFonts w:hint="eastAsia" w:cs="Times New Roman" w:asciiTheme="minorEastAsia" w:hAnsiTheme="minorEastAsia"/>
          <w:sz w:val="24"/>
          <w:szCs w:val="24"/>
        </w:rPr>
        <w:t>产品制造</w:t>
      </w:r>
      <w:r>
        <w:rPr>
          <w:rFonts w:cs="Times New Roman" w:asciiTheme="minorEastAsia" w:hAnsiTheme="minorEastAsia"/>
          <w:sz w:val="24"/>
          <w:szCs w:val="24"/>
        </w:rPr>
        <w:t>的各个工序</w:t>
      </w:r>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14:textFill>
            <w14:solidFill>
              <w14:schemeClr w14:val="tx1"/>
            </w14:solidFill>
          </w14:textFill>
        </w:rPr>
      </w:pPr>
      <w:bookmarkStart w:id="27" w:name="_Toc451610991"/>
      <w:bookmarkStart w:id="28" w:name="_Toc451610898"/>
      <w:r>
        <w:rPr>
          <w:rFonts w:hint="eastAsia" w:cs="Times New Roman" w:asciiTheme="majorEastAsia" w:hAnsiTheme="majorEastAsia" w:eastAsiaTheme="majorEastAsia"/>
          <w:b/>
          <w:color w:val="000000" w:themeColor="text1"/>
          <w:sz w:val="24"/>
          <w:szCs w:val="24"/>
          <w14:textFill>
            <w14:solidFill>
              <w14:schemeClr w14:val="tx1"/>
            </w14:solidFill>
          </w14:textFill>
        </w:rPr>
        <w:t>（三）员工权益</w:t>
      </w:r>
      <w:bookmarkEnd w:id="27"/>
      <w:bookmarkEnd w:id="28"/>
      <w:bookmarkStart w:id="29" w:name="_Ref328491126"/>
    </w:p>
    <w:bookmarkEnd w:id="29"/>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尊重员工，</w:t>
      </w:r>
      <w:r>
        <w:rPr>
          <w:rFonts w:cs="Times New Roman" w:asciiTheme="minorEastAsia" w:hAnsiTheme="minorEastAsia"/>
          <w:kern w:val="0"/>
          <w:sz w:val="24"/>
          <w:szCs w:val="24"/>
        </w:rPr>
        <w:t>保障员工的合法权益</w:t>
      </w:r>
    </w:p>
    <w:p>
      <w:pPr>
        <w:adjustRightInd w:val="0"/>
        <w:snapToGrid w:val="0"/>
        <w:spacing w:before="156" w:beforeLines="50" w:line="360" w:lineRule="auto"/>
        <w:ind w:firstLine="480" w:firstLineChars="200"/>
        <w:rPr>
          <w:rFonts w:cs="Times New Roman" w:asciiTheme="minorEastAsia" w:hAnsiTheme="minorEastAsia"/>
          <w:color w:val="auto"/>
          <w:kern w:val="0"/>
          <w:sz w:val="24"/>
          <w:szCs w:val="24"/>
          <w:highlight w:val="none"/>
        </w:rPr>
      </w:pPr>
      <w:r>
        <w:rPr>
          <w:rFonts w:hint="eastAsia" w:cs="Times New Roman" w:asciiTheme="minorEastAsia" w:hAnsiTheme="minorEastAsia"/>
          <w:kern w:val="0"/>
          <w:sz w:val="24"/>
          <w:szCs w:val="24"/>
        </w:rPr>
        <w:t>公司</w:t>
      </w:r>
      <w:r>
        <w:rPr>
          <w:rFonts w:cs="Times New Roman" w:asciiTheme="minorEastAsia" w:hAnsiTheme="minorEastAsia"/>
          <w:kern w:val="0"/>
          <w:sz w:val="24"/>
          <w:szCs w:val="24"/>
        </w:rPr>
        <w:t>自成立以来严格遵守《中华人民共和国劳动法》、《中华人民共和国劳动合同法》等劳动和社会保障</w:t>
      </w:r>
      <w:r>
        <w:rPr>
          <w:rFonts w:hint="eastAsia" w:cs="Times New Roman" w:asciiTheme="minorEastAsia" w:hAnsiTheme="minorEastAsia"/>
          <w:kern w:val="0"/>
          <w:sz w:val="24"/>
          <w:szCs w:val="24"/>
        </w:rPr>
        <w:t>方面</w:t>
      </w:r>
      <w:r>
        <w:rPr>
          <w:rFonts w:cs="Times New Roman" w:asciiTheme="minorEastAsia" w:hAnsiTheme="minorEastAsia"/>
          <w:kern w:val="0"/>
          <w:sz w:val="24"/>
          <w:szCs w:val="24"/>
        </w:rPr>
        <w:t>的法律、法规和规章</w:t>
      </w:r>
      <w:r>
        <w:rPr>
          <w:rFonts w:hint="eastAsia" w:asciiTheme="minorEastAsia" w:hAnsiTheme="minorEastAsia"/>
          <w:sz w:val="24"/>
          <w:szCs w:val="24"/>
        </w:rPr>
        <w:t>。</w:t>
      </w:r>
      <w:r>
        <w:rPr>
          <w:rFonts w:asciiTheme="minorEastAsia" w:hAnsiTheme="minorEastAsia"/>
          <w:sz w:val="24"/>
          <w:szCs w:val="24"/>
        </w:rPr>
        <w:t>实行劳动合同制，与</w:t>
      </w:r>
      <w:r>
        <w:rPr>
          <w:rFonts w:hint="eastAsia" w:asciiTheme="minorEastAsia" w:hAnsiTheme="minorEastAsia"/>
          <w:sz w:val="24"/>
          <w:szCs w:val="24"/>
        </w:rPr>
        <w:t>所有员工</w:t>
      </w:r>
      <w:r>
        <w:rPr>
          <w:rFonts w:asciiTheme="minorEastAsia" w:hAnsiTheme="minorEastAsia"/>
          <w:sz w:val="24"/>
          <w:szCs w:val="24"/>
        </w:rPr>
        <w:t>按照《劳动合同法》的有关规定签订了《劳动合同》，并为员工提供了社会保障计划。目前，公司已根据国家及地方的有关规定，</w:t>
      </w:r>
      <w:r>
        <w:rPr>
          <w:rFonts w:asciiTheme="minorEastAsia" w:hAnsiTheme="minorEastAsia"/>
          <w:color w:val="auto"/>
          <w:sz w:val="24"/>
          <w:szCs w:val="24"/>
          <w:highlight w:val="none"/>
        </w:rPr>
        <w:t>为员工缴纳了养老保险金、工伤保险金、医疗保险金、失业保</w:t>
      </w:r>
      <w:r>
        <w:rPr>
          <w:rFonts w:hint="eastAsia" w:asciiTheme="minorEastAsia" w:hAnsiTheme="minorEastAsia"/>
          <w:color w:val="auto"/>
          <w:sz w:val="24"/>
          <w:szCs w:val="24"/>
          <w:highlight w:val="none"/>
        </w:rPr>
        <w:t>险</w:t>
      </w:r>
      <w:r>
        <w:rPr>
          <w:rFonts w:asciiTheme="minorEastAsia" w:hAnsiTheme="minorEastAsia"/>
          <w:color w:val="auto"/>
          <w:sz w:val="24"/>
          <w:szCs w:val="24"/>
          <w:highlight w:val="none"/>
        </w:rPr>
        <w:t>金、生育保险金。</w:t>
      </w:r>
      <w:r>
        <w:rPr>
          <w:rFonts w:hint="eastAsia" w:asciiTheme="minorEastAsia" w:hAnsiTheme="minorEastAsia"/>
          <w:color w:val="auto"/>
          <w:sz w:val="24"/>
          <w:szCs w:val="24"/>
          <w:highlight w:val="none"/>
          <w:lang w:val="en-US" w:eastAsia="zh-CN"/>
        </w:rPr>
        <w:t>公司</w:t>
      </w:r>
      <w:r>
        <w:rPr>
          <w:rFonts w:asciiTheme="minorEastAsia" w:hAnsiTheme="minorEastAsia"/>
          <w:color w:val="auto"/>
          <w:sz w:val="24"/>
          <w:szCs w:val="24"/>
          <w:highlight w:val="none"/>
        </w:rPr>
        <w:t>劳动合同</w:t>
      </w:r>
      <w:r>
        <w:rPr>
          <w:rFonts w:hint="eastAsia" w:asciiTheme="minorEastAsia" w:hAnsiTheme="minorEastAsia"/>
          <w:color w:val="auto"/>
          <w:sz w:val="24"/>
          <w:szCs w:val="24"/>
          <w:highlight w:val="none"/>
        </w:rPr>
        <w:t>签订</w:t>
      </w:r>
      <w:r>
        <w:rPr>
          <w:rFonts w:asciiTheme="minorEastAsia" w:hAnsiTheme="minorEastAsia"/>
          <w:color w:val="auto"/>
          <w:sz w:val="24"/>
          <w:szCs w:val="24"/>
          <w:highlight w:val="none"/>
        </w:rPr>
        <w:t>率为</w:t>
      </w:r>
      <w:r>
        <w:rPr>
          <w:rFonts w:hint="eastAsia" w:asciiTheme="minorEastAsia" w:hAnsiTheme="minorEastAsia"/>
          <w:color w:val="auto"/>
          <w:sz w:val="24"/>
          <w:szCs w:val="24"/>
          <w:highlight w:val="none"/>
        </w:rPr>
        <w:t>100</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同时，员工享有过</w:t>
      </w:r>
      <w:r>
        <w:rPr>
          <w:rFonts w:hint="eastAsia" w:cs="Times New Roman" w:asciiTheme="minorEastAsia" w:hAnsiTheme="minorEastAsia"/>
          <w:color w:val="auto"/>
          <w:kern w:val="0"/>
          <w:sz w:val="24"/>
          <w:szCs w:val="24"/>
          <w:highlight w:val="none"/>
        </w:rPr>
        <w:t>节福利、防暑降温药品等福利。公司</w:t>
      </w:r>
      <w:r>
        <w:rPr>
          <w:rFonts w:cs="Times New Roman" w:asciiTheme="minorEastAsia" w:hAnsiTheme="minorEastAsia"/>
          <w:color w:val="auto"/>
          <w:kern w:val="0"/>
          <w:sz w:val="24"/>
          <w:szCs w:val="24"/>
          <w:highlight w:val="none"/>
        </w:rPr>
        <w:t>不断完善员工反映问题和</w:t>
      </w:r>
      <w:r>
        <w:rPr>
          <w:rFonts w:hint="eastAsia" w:cs="Times New Roman" w:asciiTheme="minorEastAsia" w:hAnsiTheme="minorEastAsia"/>
          <w:color w:val="auto"/>
          <w:kern w:val="0"/>
          <w:sz w:val="24"/>
          <w:szCs w:val="24"/>
          <w:highlight w:val="none"/>
        </w:rPr>
        <w:t>诉求</w:t>
      </w:r>
      <w:r>
        <w:rPr>
          <w:rFonts w:cs="Times New Roman" w:asciiTheme="minorEastAsia" w:hAnsiTheme="minorEastAsia"/>
          <w:color w:val="auto"/>
          <w:kern w:val="0"/>
          <w:sz w:val="24"/>
          <w:szCs w:val="24"/>
          <w:highlight w:val="none"/>
        </w:rPr>
        <w:t>的渠道及处理机制</w:t>
      </w:r>
      <w:r>
        <w:rPr>
          <w:rFonts w:hint="eastAsia" w:cs="Times New Roman" w:asciiTheme="minorEastAsia" w:hAnsiTheme="minorEastAsia"/>
          <w:color w:val="auto"/>
          <w:kern w:val="0"/>
          <w:sz w:val="24"/>
          <w:szCs w:val="24"/>
          <w:highlight w:val="none"/>
        </w:rPr>
        <w:t>。员工可</w:t>
      </w:r>
      <w:r>
        <w:rPr>
          <w:rFonts w:cs="Times New Roman" w:asciiTheme="minorEastAsia" w:hAnsiTheme="minorEastAsia"/>
          <w:color w:val="auto"/>
          <w:kern w:val="0"/>
          <w:sz w:val="24"/>
          <w:szCs w:val="24"/>
          <w:highlight w:val="none"/>
        </w:rPr>
        <w:t>通过电话、微信</w:t>
      </w:r>
      <w:r>
        <w:rPr>
          <w:rFonts w:hint="eastAsia" w:cs="Times New Roman" w:asciiTheme="minorEastAsia" w:hAnsiTheme="minorEastAsia"/>
          <w:color w:val="auto"/>
          <w:kern w:val="0"/>
          <w:sz w:val="24"/>
          <w:szCs w:val="24"/>
          <w:highlight w:val="none"/>
        </w:rPr>
        <w:t>等</w:t>
      </w:r>
      <w:r>
        <w:rPr>
          <w:rFonts w:cs="Times New Roman" w:asciiTheme="minorEastAsia" w:hAnsiTheme="minorEastAsia"/>
          <w:color w:val="auto"/>
          <w:kern w:val="0"/>
          <w:sz w:val="24"/>
          <w:szCs w:val="24"/>
          <w:highlight w:val="none"/>
        </w:rPr>
        <w:t>渠道，反映</w:t>
      </w:r>
      <w:r>
        <w:rPr>
          <w:rFonts w:hint="eastAsia" w:cs="Times New Roman" w:asciiTheme="minorEastAsia" w:hAnsiTheme="minorEastAsia"/>
          <w:color w:val="auto"/>
          <w:kern w:val="0"/>
          <w:sz w:val="24"/>
          <w:szCs w:val="24"/>
          <w:highlight w:val="none"/>
        </w:rPr>
        <w:t>他们</w:t>
      </w:r>
      <w:r>
        <w:rPr>
          <w:rFonts w:cs="Times New Roman" w:asciiTheme="minorEastAsia" w:hAnsiTheme="minorEastAsia"/>
          <w:color w:val="auto"/>
          <w:kern w:val="0"/>
          <w:sz w:val="24"/>
          <w:szCs w:val="24"/>
          <w:highlight w:val="none"/>
        </w:rPr>
        <w:t>遇到或可能发生的问题。公司</w:t>
      </w:r>
      <w:r>
        <w:rPr>
          <w:rFonts w:hint="eastAsia" w:cs="Times New Roman" w:asciiTheme="minorEastAsia" w:hAnsiTheme="minorEastAsia"/>
          <w:color w:val="auto"/>
          <w:kern w:val="0"/>
          <w:sz w:val="24"/>
          <w:szCs w:val="24"/>
          <w:highlight w:val="none"/>
        </w:rPr>
        <w:t>高度</w:t>
      </w:r>
      <w:r>
        <w:rPr>
          <w:rFonts w:cs="Times New Roman" w:asciiTheme="minorEastAsia" w:hAnsiTheme="minorEastAsia"/>
          <w:color w:val="auto"/>
          <w:kern w:val="0"/>
          <w:sz w:val="24"/>
          <w:szCs w:val="24"/>
          <w:highlight w:val="none"/>
        </w:rPr>
        <w:t>重视员工申述</w:t>
      </w:r>
      <w:r>
        <w:rPr>
          <w:rFonts w:hint="eastAsia" w:cs="Times New Roman" w:asciiTheme="minorEastAsia" w:hAnsiTheme="minorEastAsia"/>
          <w:color w:val="auto"/>
          <w:kern w:val="0"/>
          <w:sz w:val="24"/>
          <w:szCs w:val="24"/>
          <w:highlight w:val="none"/>
        </w:rPr>
        <w:t>事件</w:t>
      </w:r>
      <w:r>
        <w:rPr>
          <w:rFonts w:cs="Times New Roman" w:asciiTheme="minorEastAsia" w:hAnsiTheme="minorEastAsia"/>
          <w:color w:val="auto"/>
          <w:kern w:val="0"/>
          <w:sz w:val="24"/>
          <w:szCs w:val="24"/>
          <w:highlight w:val="none"/>
        </w:rPr>
        <w:t>，保证处理程序正当、依据明确</w:t>
      </w:r>
      <w:r>
        <w:rPr>
          <w:rFonts w:hint="eastAsia" w:cs="Times New Roman" w:asciiTheme="minorEastAsia" w:hAnsiTheme="minorEastAsia"/>
          <w:color w:val="auto"/>
          <w:kern w:val="0"/>
          <w:sz w:val="24"/>
          <w:szCs w:val="24"/>
          <w:highlight w:val="none"/>
        </w:rPr>
        <w:t>、</w:t>
      </w:r>
      <w:r>
        <w:rPr>
          <w:rFonts w:cs="Times New Roman" w:asciiTheme="minorEastAsia" w:hAnsiTheme="minorEastAsia"/>
          <w:color w:val="auto"/>
          <w:kern w:val="0"/>
          <w:sz w:val="24"/>
          <w:szCs w:val="24"/>
          <w:highlight w:val="none"/>
        </w:rPr>
        <w:t>结果恰当，保障了员工的合法权益。</w:t>
      </w:r>
    </w:p>
    <w:p>
      <w:pPr>
        <w:topLinePunct/>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还特别关注一些特殊群体的需求，如关注女性员工的工作环境、工作时间、工作强度以及长期性的职业发展、公平机会等因素；针对现在越来越多的80后、90后群体的特质给予更多的关注，为其制定职业生涯规划，明确发展通道，开展师带徒手把手指导和专项培训，给予更高工作目标，提高其业务技能和个体素质；针对家庭有困难的员工，公司通过基金会予以大力帮助和支持，董事长亲自出面联系优质医疗资源、教育资源，视员工为亲人，不断提升员工归属感。</w:t>
      </w:r>
    </w:p>
    <w:p>
      <w:pPr>
        <w:topLinePunct/>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公司通过各种方式，如国庆、</w:t>
      </w:r>
      <w:r>
        <w:rPr>
          <w:rFonts w:hint="eastAsia" w:cs="Times New Roman" w:asciiTheme="minorEastAsia" w:hAnsiTheme="minorEastAsia"/>
          <w:kern w:val="0"/>
          <w:sz w:val="24"/>
          <w:szCs w:val="24"/>
        </w:rPr>
        <w:t>五一</w:t>
      </w:r>
      <w:r>
        <w:rPr>
          <w:rFonts w:cs="Times New Roman" w:asciiTheme="minorEastAsia" w:hAnsiTheme="minorEastAsia"/>
          <w:kern w:val="0"/>
          <w:sz w:val="24"/>
          <w:szCs w:val="24"/>
        </w:rPr>
        <w:t>文体活动等，丰富员工的工作和业余生活，构造和谐工作环境，激发员工爱心、积极性和创造性，促进公司和谐发展。</w:t>
      </w:r>
    </w:p>
    <w:p>
      <w:pPr>
        <w:topLinePunct/>
        <w:spacing w:line="360" w:lineRule="auto"/>
        <w:ind w:firstLine="480" w:firstLineChars="200"/>
        <w:rPr>
          <w:rFonts w:ascii="宋体" w:hAnsi="宋体" w:eastAsia="宋体" w:cs="Helvetica"/>
          <w:b/>
          <w:bCs/>
          <w:color w:val="000000" w:themeColor="text1"/>
          <w:kern w:val="0"/>
          <w:sz w:val="24"/>
          <w:szCs w:val="24"/>
          <w:lang w:val="en"/>
          <w14:textFill>
            <w14:solidFill>
              <w14:schemeClr w14:val="tx1"/>
            </w14:solidFill>
          </w14:textFill>
        </w:rPr>
      </w:pPr>
      <w:r>
        <w:rPr>
          <w:rFonts w:cs="Times New Roman" w:asciiTheme="minorEastAsia" w:hAnsiTheme="minorEastAsia"/>
          <w:color w:val="000000"/>
          <w:sz w:val="24"/>
          <w:szCs w:val="24"/>
        </w:rPr>
        <w:t>公司高层领导通过短信/微信平台、合理化建议、员工满意度调查、员工座谈会、下基层参加部门例会、娱乐活动、午餐会等形式，调查、了解员工意见和建议，获取员工满意度信息。明确的问题由行政部负责跟踪督办，要求各相关职能部门在规定时间内进行处理。高层领导注重现场了解情况并在承诺时间内及时做出积极的反馈和处理。</w:t>
      </w:r>
      <w:bookmarkStart w:id="30" w:name="_Toc451610900"/>
      <w:bookmarkStart w:id="31" w:name="_Toc451610993"/>
    </w:p>
    <w:p>
      <w:pPr>
        <w:widowControl/>
        <w:shd w:val="clear" w:color="auto" w:fill="FFFFFF"/>
        <w:spacing w:line="276" w:lineRule="auto"/>
        <w:jc w:val="left"/>
        <w:outlineLvl w:val="1"/>
        <w:rPr>
          <w:rFonts w:hint="eastAsia" w:ascii="宋体" w:hAnsi="宋体" w:eastAsia="宋体" w:cs="Helvetica"/>
          <w:b/>
          <w:bCs/>
          <w:color w:val="auto"/>
          <w:kern w:val="0"/>
          <w:sz w:val="24"/>
          <w:szCs w:val="24"/>
          <w:highlight w:val="none"/>
          <w:shd w:val="clear" w:color="FFFFFF" w:fill="D9D9D9"/>
          <w:lang w:val="en" w:eastAsia="zh-CN"/>
        </w:rPr>
      </w:pPr>
      <w:r>
        <w:rPr>
          <w:rFonts w:hint="eastAsia" w:ascii="宋体" w:hAnsi="宋体" w:eastAsia="宋体" w:cs="Helvetica"/>
          <w:b/>
          <w:bCs/>
          <w:color w:val="auto"/>
          <w:kern w:val="0"/>
          <w:sz w:val="24"/>
          <w:szCs w:val="24"/>
          <w:highlight w:val="none"/>
          <w:shd w:val="clear" w:color="FFFFFF" w:fill="D9D9D9"/>
          <w:lang w:val="en"/>
        </w:rPr>
        <w:t>（四）社会荣誉</w:t>
      </w:r>
      <w:bookmarkEnd w:id="30"/>
      <w:bookmarkEnd w:id="31"/>
    </w:p>
    <w:tbl>
      <w:tblPr>
        <w:tblStyle w:val="38"/>
        <w:tblW w:w="5000" w:type="pct"/>
        <w:tblInd w:w="0" w:type="dxa"/>
        <w:tblLayout w:type="fixed"/>
        <w:tblCellMar>
          <w:top w:w="0" w:type="dxa"/>
          <w:left w:w="108" w:type="dxa"/>
          <w:bottom w:w="0" w:type="dxa"/>
          <w:right w:w="108" w:type="dxa"/>
        </w:tblCellMar>
      </w:tblPr>
      <w:tblGrid>
        <w:gridCol w:w="553"/>
        <w:gridCol w:w="2863"/>
        <w:gridCol w:w="1368"/>
        <w:gridCol w:w="3738"/>
      </w:tblGrid>
      <w:tr>
        <w:tblPrEx>
          <w:tblCellMar>
            <w:top w:w="0" w:type="dxa"/>
            <w:left w:w="108" w:type="dxa"/>
            <w:bottom w:w="0" w:type="dxa"/>
            <w:right w:w="108" w:type="dxa"/>
          </w:tblCellMar>
        </w:tblPrEx>
        <w:trPr>
          <w:trHeight w:val="926" w:hRule="atLeast"/>
        </w:trPr>
        <w:tc>
          <w:tcPr>
            <w:tcW w:w="3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获奖名称</w:t>
            </w:r>
          </w:p>
        </w:tc>
        <w:tc>
          <w:tcPr>
            <w:tcW w:w="8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获奖时间</w:t>
            </w:r>
          </w:p>
        </w:tc>
        <w:tc>
          <w:tcPr>
            <w:tcW w:w="21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highlight w:val="none"/>
              </w:rPr>
            </w:pPr>
            <w:r>
              <w:rPr>
                <w:rFonts w:hint="eastAsia" w:ascii="宋体" w:hAnsi="宋体" w:cs="宋体"/>
                <w:b/>
                <w:bCs/>
                <w:kern w:val="0"/>
                <w:sz w:val="24"/>
                <w:highlight w:val="none"/>
              </w:rPr>
              <w:t>颁奖部门</w:t>
            </w:r>
          </w:p>
        </w:tc>
      </w:tr>
      <w:tr>
        <w:tblPrEx>
          <w:tblCellMar>
            <w:top w:w="0" w:type="dxa"/>
            <w:left w:w="108" w:type="dxa"/>
            <w:bottom w:w="0" w:type="dxa"/>
            <w:right w:w="108" w:type="dxa"/>
          </w:tblCellMar>
        </w:tblPrEx>
        <w:trPr>
          <w:trHeight w:val="975" w:hRule="atLeast"/>
        </w:trPr>
        <w:tc>
          <w:tcPr>
            <w:tcW w:w="3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67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cstheme="minorEastAsia"/>
                <w:spacing w:val="-4"/>
                <w:sz w:val="22"/>
                <w:highlight w:val="none"/>
                <w:lang w:val="en-US" w:eastAsia="zh-CN"/>
              </w:rPr>
            </w:pPr>
            <w:r>
              <w:rPr>
                <w:rFonts w:hint="eastAsia" w:asciiTheme="minorEastAsia" w:hAnsiTheme="minorEastAsia" w:cstheme="minorEastAsia"/>
                <w:spacing w:val="-4"/>
                <w:sz w:val="22"/>
                <w:highlight w:val="none"/>
                <w:lang w:val="en-US" w:eastAsia="zh-CN"/>
              </w:rPr>
              <w:t>省级科技型中小企业</w:t>
            </w:r>
          </w:p>
        </w:tc>
        <w:tc>
          <w:tcPr>
            <w:tcW w:w="80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cstheme="minorEastAsia"/>
                <w:spacing w:val="-4"/>
                <w:sz w:val="22"/>
                <w:highlight w:val="none"/>
                <w:lang w:val="en-US" w:eastAsia="zh-CN"/>
              </w:rPr>
            </w:pPr>
            <w:r>
              <w:rPr>
                <w:rFonts w:hint="eastAsia" w:asciiTheme="minorEastAsia" w:hAnsiTheme="minorEastAsia" w:cstheme="minorEastAsia"/>
                <w:spacing w:val="-4"/>
                <w:sz w:val="22"/>
                <w:highlight w:val="none"/>
                <w:lang w:val="en-US" w:eastAsia="zh-CN"/>
              </w:rPr>
              <w:t>2020.6</w:t>
            </w:r>
          </w:p>
        </w:tc>
        <w:tc>
          <w:tcPr>
            <w:tcW w:w="219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cstheme="minorEastAsia"/>
                <w:spacing w:val="-4"/>
                <w:sz w:val="22"/>
                <w:highlight w:val="none"/>
                <w:lang w:val="en-US" w:eastAsia="zh-CN"/>
              </w:rPr>
            </w:pPr>
            <w:r>
              <w:rPr>
                <w:rFonts w:hint="eastAsia" w:asciiTheme="minorEastAsia" w:hAnsiTheme="minorEastAsia" w:cstheme="minorEastAsia"/>
                <w:spacing w:val="-4"/>
                <w:sz w:val="22"/>
                <w:highlight w:val="none"/>
                <w:lang w:val="en-US" w:eastAsia="zh-CN"/>
              </w:rPr>
              <w:t>台州市科学技术局</w:t>
            </w:r>
          </w:p>
        </w:tc>
      </w:tr>
    </w:tbl>
    <w:p>
      <w:pPr>
        <w:widowControl/>
        <w:shd w:val="clear" w:color="auto" w:fill="FFFFFF"/>
        <w:spacing w:line="276" w:lineRule="auto"/>
        <w:jc w:val="left"/>
        <w:outlineLvl w:val="1"/>
        <w:rPr>
          <w:rFonts w:ascii="宋体" w:hAnsi="宋体" w:eastAsia="宋体" w:cs="Helvetica"/>
          <w:b/>
          <w:bCs/>
          <w:color w:val="000000" w:themeColor="text1"/>
          <w:kern w:val="0"/>
          <w:sz w:val="24"/>
          <w:szCs w:val="24"/>
          <w:lang w:val="en"/>
          <w14:textFill>
            <w14:solidFill>
              <w14:schemeClr w14:val="tx1"/>
            </w14:solidFill>
          </w14:textFill>
        </w:rPr>
      </w:pPr>
    </w:p>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14:textFill>
            <w14:solidFill>
              <w14:schemeClr w14:val="tx1"/>
            </w14:solidFill>
          </w14:textFill>
        </w:rPr>
      </w:pPr>
      <w:r>
        <w:rPr>
          <w:rFonts w:hint="eastAsia" w:cs="Times New Roman" w:asciiTheme="majorEastAsia" w:hAnsiTheme="majorEastAsia" w:eastAsiaTheme="majorEastAsia"/>
          <w:b/>
          <w:color w:val="000000" w:themeColor="text1"/>
          <w:sz w:val="28"/>
          <w:szCs w:val="24"/>
          <w14:textFill>
            <w14:solidFill>
              <w14:schemeClr w14:val="tx1"/>
            </w14:solidFill>
          </w14:textFill>
        </w:rPr>
        <w:t>五、环境责任</w:t>
      </w:r>
    </w:p>
    <w:p>
      <w:pPr>
        <w:spacing w:line="360" w:lineRule="auto"/>
        <w:ind w:firstLine="480" w:firstLineChars="200"/>
        <w:rPr>
          <w:rFonts w:ascii="宋体" w:hAnsi="宋体" w:eastAsia="宋体" w:cs="Times New Roman"/>
          <w:kern w:val="0"/>
          <w:sz w:val="24"/>
          <w:szCs w:val="24"/>
          <w:lang w:val="zh-CN"/>
        </w:rPr>
      </w:pPr>
      <w:r>
        <w:rPr>
          <w:rFonts w:cs="Times New Roman" w:asciiTheme="minorEastAsia" w:hAnsiTheme="minorEastAsia"/>
          <w:kern w:val="0"/>
          <w:sz w:val="24"/>
          <w:szCs w:val="24"/>
          <w:lang w:val="zh-CN"/>
        </w:rPr>
        <w:t>公司坚持“保护环境，造福人类，预防污染，持续改进”的环保方针，通过不断改进技术与工艺</w:t>
      </w:r>
      <w:r>
        <w:rPr>
          <w:rFonts w:hint="eastAsia" w:cs="Times New Roman" w:asciiTheme="minorEastAsia" w:hAnsiTheme="minorEastAsia"/>
          <w:kern w:val="0"/>
          <w:sz w:val="24"/>
          <w:szCs w:val="24"/>
          <w:lang w:val="zh-CN"/>
        </w:rPr>
        <w:t>,更换零部</w:t>
      </w:r>
      <w:bookmarkStart w:id="34" w:name="_GoBack"/>
      <w:bookmarkEnd w:id="34"/>
      <w:r>
        <w:rPr>
          <w:rFonts w:hint="eastAsia" w:cs="Times New Roman" w:asciiTheme="minorEastAsia" w:hAnsiTheme="minorEastAsia"/>
          <w:kern w:val="0"/>
          <w:sz w:val="24"/>
          <w:szCs w:val="24"/>
          <w:lang w:val="zh-CN"/>
        </w:rPr>
        <w:t>件</w:t>
      </w:r>
      <w:r>
        <w:rPr>
          <w:rFonts w:cs="Times New Roman" w:asciiTheme="minorEastAsia" w:hAnsiTheme="minorEastAsia"/>
          <w:kern w:val="0"/>
          <w:sz w:val="24"/>
          <w:szCs w:val="24"/>
          <w:lang w:val="zh-CN"/>
        </w:rPr>
        <w:t>，强化管理，减少各种废弃物的产生，保证各种污染物达标排放；通过节能降耗，不断提升能源、资源的使用效率；通过加强环保方面的培训，确保每一位员工认知日常工作生活行为对环境的影响</w:t>
      </w:r>
      <w:r>
        <w:rPr>
          <w:rFonts w:ascii="宋体" w:hAnsi="宋体" w:eastAsia="宋体" w:cs="Times New Roman"/>
          <w:kern w:val="0"/>
          <w:sz w:val="24"/>
          <w:szCs w:val="24"/>
          <w:lang w:val="zh-CN"/>
        </w:rPr>
        <w:t>。</w:t>
      </w:r>
    </w:p>
    <w:p>
      <w:pPr>
        <w:spacing w:before="156" w:beforeLines="50" w:after="156" w:afterLines="50" w:line="276" w:lineRule="auto"/>
        <w:outlineLvl w:val="1"/>
        <w:rPr>
          <w:rFonts w:ascii="宋体" w:hAnsi="宋体" w:eastAsia="宋体" w:cs="Times New Roman"/>
          <w:b/>
          <w:sz w:val="24"/>
          <w:szCs w:val="24"/>
        </w:rPr>
      </w:pPr>
      <w:bookmarkStart w:id="32" w:name="_Toc451610902"/>
      <w:bookmarkStart w:id="33" w:name="_Toc451610995"/>
      <w:r>
        <w:rPr>
          <w:rFonts w:hint="eastAsia" w:ascii="宋体" w:hAnsi="宋体" w:eastAsia="宋体" w:cs="Times New Roman"/>
          <w:b/>
          <w:sz w:val="24"/>
          <w:szCs w:val="24"/>
        </w:rPr>
        <w:t>（一）环境保护</w:t>
      </w:r>
      <w:bookmarkEnd w:id="32"/>
      <w:bookmarkEnd w:id="33"/>
    </w:p>
    <w:p>
      <w:pPr>
        <w:spacing w:line="360" w:lineRule="auto"/>
        <w:ind w:firstLine="480" w:firstLineChars="20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公司产品及生产、运营过程对环境污染、社会风险不良影响较小，但公司仍非常重视环境影响控制，严格贯彻国家相关法律法规，颁布并实施了《</w:t>
      </w:r>
      <w:r>
        <w:rPr>
          <w:rFonts w:hint="eastAsia" w:cs="Times New Roman" w:asciiTheme="minorEastAsia" w:hAnsiTheme="minorEastAsia"/>
          <w:kern w:val="0"/>
          <w:sz w:val="24"/>
          <w:szCs w:val="24"/>
          <w:lang w:val="zh-CN"/>
        </w:rPr>
        <w:t>环境因素识别与评价控制程序</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、《环境、职业健康安全运行控制》</w:t>
      </w:r>
      <w:r>
        <w:rPr>
          <w:rFonts w:cs="Times New Roman" w:asciiTheme="minorEastAsia" w:hAnsiTheme="minorEastAsia"/>
          <w:kern w:val="0"/>
          <w:sz w:val="24"/>
          <w:szCs w:val="24"/>
          <w:lang w:val="zh-CN"/>
        </w:rPr>
        <w:t>等制度和管理办法</w:t>
      </w:r>
      <w:r>
        <w:rPr>
          <w:rFonts w:hint="eastAsia" w:cs="Times New Roman" w:asciiTheme="minorEastAsia" w:hAnsiTheme="minorEastAsia"/>
          <w:kern w:val="0"/>
          <w:sz w:val="24"/>
          <w:szCs w:val="24"/>
          <w:lang w:val="zh-CN"/>
        </w:rPr>
        <w:t>。</w:t>
      </w:r>
    </w:p>
    <w:p>
      <w:pPr>
        <w:pStyle w:val="86"/>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三年来，无环境污染事故，各污染源稳定达标排放，各类环境治理设施运转正常，公司产品的生产过程中不存在重污染的情况，对于生产过程中的废水、废气、固体废弃物和噪音问题，公司已采取了适当的环保措施，对周边环境的影响很小。</w:t>
      </w:r>
    </w:p>
    <w:p>
      <w:pPr>
        <w:spacing w:before="156" w:beforeLines="50" w:after="156" w:afterLines="50" w:line="276" w:lineRule="auto"/>
        <w:outlineLvl w:val="1"/>
        <w:rPr>
          <w:rFonts w:ascii="宋体" w:hAnsi="宋体" w:eastAsia="宋体" w:cs="Times New Roman"/>
          <w:b/>
          <w:sz w:val="24"/>
          <w:szCs w:val="24"/>
        </w:rPr>
      </w:pPr>
      <w:r>
        <w:rPr>
          <w:rFonts w:hint="eastAsia" w:ascii="宋体" w:hAnsi="宋体" w:eastAsia="宋体" w:cs="Times New Roman"/>
          <w:b/>
          <w:sz w:val="24"/>
          <w:szCs w:val="24"/>
        </w:rPr>
        <w:t>（二）道德行为：</w:t>
      </w:r>
    </w:p>
    <w:p>
      <w:pPr>
        <w:pStyle w:val="86"/>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公司在生产经营活动中诚实、守信，获得顾客、供应商、质监、工商、税务等方面的广泛好评。</w:t>
      </w:r>
    </w:p>
    <w:p>
      <w:pPr>
        <w:spacing w:before="156" w:beforeLines="50" w:after="156" w:afterLines="50" w:line="276" w:lineRule="auto"/>
        <w:outlineLvl w:val="1"/>
        <w:rPr>
          <w:rFonts w:ascii="宋体" w:hAnsi="宋体" w:eastAsia="宋体" w:cs="Times New Roman"/>
          <w:b/>
          <w:sz w:val="24"/>
          <w:szCs w:val="24"/>
        </w:rPr>
      </w:pPr>
      <w:r>
        <w:rPr>
          <w:rFonts w:hint="eastAsia" w:ascii="宋体" w:hAnsi="宋体" w:eastAsia="宋体" w:cs="Times New Roman"/>
          <w:b/>
          <w:sz w:val="24"/>
          <w:szCs w:val="24"/>
        </w:rPr>
        <w:t>（三）公益支持：</w:t>
      </w:r>
    </w:p>
    <w:p>
      <w:pPr>
        <w:pStyle w:val="86"/>
        <w:ind w:firstLine="480"/>
        <w:rPr>
          <w:rFonts w:asciiTheme="minorEastAsia" w:hAnsiTheme="minorEastAsia" w:eastAsiaTheme="minorEastAsia"/>
          <w:bCs w:val="0"/>
          <w:color w:val="FF0000"/>
          <w:kern w:val="0"/>
          <w:lang w:val="zh-CN"/>
        </w:rPr>
      </w:pPr>
      <w:r>
        <w:rPr>
          <w:rFonts w:hint="eastAsia" w:asciiTheme="minorEastAsia" w:hAnsiTheme="minorEastAsia" w:eastAsiaTheme="minorEastAsia"/>
          <w:bCs w:val="0"/>
          <w:kern w:val="0"/>
          <w:lang w:val="zh-CN"/>
        </w:rPr>
        <w:t>公司高层领导认为公司的发展和财富的积累来源于社会，企业取得的每一项进步和成效都得益于各级领导的呵护和关心，都离不开社会各界的厚爱和支持。遵循公司“奉献”的价值观以及公司使命，公司坚持回馈社会，认真履行企业的社会责任。公司在注重企业经营的同时，不忘社会责任，积极组织参加各类公益慈善活动。</w:t>
      </w:r>
    </w:p>
    <w:tbl>
      <w:tblPr>
        <w:tblStyle w:val="38"/>
        <w:tblW w:w="8150" w:type="dxa"/>
        <w:tblInd w:w="91" w:type="dxa"/>
        <w:tblLayout w:type="fixed"/>
        <w:tblCellMar>
          <w:top w:w="0" w:type="dxa"/>
          <w:left w:w="108" w:type="dxa"/>
          <w:bottom w:w="0" w:type="dxa"/>
          <w:right w:w="108" w:type="dxa"/>
        </w:tblCellMar>
      </w:tblPr>
      <w:tblGrid>
        <w:gridCol w:w="4455"/>
        <w:gridCol w:w="1995"/>
        <w:gridCol w:w="1700"/>
      </w:tblGrid>
      <w:tr>
        <w:tblPrEx>
          <w:tblCellMar>
            <w:top w:w="0" w:type="dxa"/>
            <w:left w:w="108" w:type="dxa"/>
            <w:bottom w:w="0" w:type="dxa"/>
            <w:right w:w="108" w:type="dxa"/>
          </w:tblCellMar>
        </w:tblPrEx>
        <w:trPr>
          <w:trHeight w:val="375" w:hRule="atLeast"/>
        </w:trPr>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 w:val="24"/>
                <w:szCs w:val="24"/>
                <w:highlight w:val="none"/>
                <w:lang w:val="zh-CN"/>
              </w:rPr>
            </w:pPr>
            <w:r>
              <w:rPr>
                <w:rFonts w:hint="eastAsia" w:cs="Times New Roman" w:asciiTheme="minorEastAsia" w:hAnsiTheme="minorEastAsia"/>
                <w:color w:val="auto"/>
                <w:kern w:val="0"/>
                <w:sz w:val="24"/>
                <w:szCs w:val="24"/>
                <w:highlight w:val="none"/>
                <w:lang w:val="zh-CN"/>
              </w:rPr>
              <w:t>项目</w:t>
            </w:r>
          </w:p>
        </w:tc>
        <w:tc>
          <w:tcPr>
            <w:tcW w:w="19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 w:val="24"/>
                <w:szCs w:val="24"/>
                <w:highlight w:val="none"/>
                <w:lang w:val="zh-CN"/>
              </w:rPr>
            </w:pPr>
            <w:r>
              <w:rPr>
                <w:rFonts w:hint="eastAsia" w:cs="Times New Roman" w:asciiTheme="minorEastAsia" w:hAnsiTheme="minorEastAsia"/>
                <w:color w:val="auto"/>
                <w:kern w:val="0"/>
                <w:sz w:val="24"/>
                <w:szCs w:val="24"/>
                <w:highlight w:val="none"/>
                <w:lang w:val="zh-CN"/>
              </w:rPr>
              <w:t>捐赠时间</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 w:val="24"/>
                <w:szCs w:val="24"/>
                <w:highlight w:val="none"/>
                <w:lang w:val="zh-CN"/>
              </w:rPr>
            </w:pPr>
            <w:r>
              <w:rPr>
                <w:rFonts w:hint="eastAsia" w:cs="Times New Roman" w:asciiTheme="minorEastAsia" w:hAnsiTheme="minorEastAsia"/>
                <w:color w:val="auto"/>
                <w:kern w:val="0"/>
                <w:sz w:val="24"/>
                <w:szCs w:val="24"/>
                <w:highlight w:val="none"/>
                <w:lang w:val="zh-CN"/>
              </w:rPr>
              <w:t>金额（元）</w:t>
            </w:r>
          </w:p>
        </w:tc>
      </w:tr>
      <w:tr>
        <w:tblPrEx>
          <w:tblCellMar>
            <w:top w:w="0" w:type="dxa"/>
            <w:left w:w="108" w:type="dxa"/>
            <w:bottom w:w="0" w:type="dxa"/>
            <w:right w:w="108" w:type="dxa"/>
          </w:tblCellMar>
        </w:tblPrEx>
        <w:trPr>
          <w:trHeight w:val="417" w:hRule="atLeast"/>
        </w:trPr>
        <w:tc>
          <w:tcPr>
            <w:tcW w:w="445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抗疫捐款（向台州市椒江区慈善总会）</w:t>
            </w:r>
          </w:p>
        </w:tc>
        <w:tc>
          <w:tcPr>
            <w:tcW w:w="19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2020.2.3</w:t>
            </w:r>
          </w:p>
        </w:tc>
        <w:tc>
          <w:tcPr>
            <w:tcW w:w="17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10000</w:t>
            </w:r>
          </w:p>
        </w:tc>
      </w:tr>
      <w:tr>
        <w:tblPrEx>
          <w:tblCellMar>
            <w:top w:w="0" w:type="dxa"/>
            <w:left w:w="108" w:type="dxa"/>
            <w:bottom w:w="0" w:type="dxa"/>
            <w:right w:w="108" w:type="dxa"/>
          </w:tblCellMar>
        </w:tblPrEx>
        <w:trPr>
          <w:trHeight w:val="357" w:hRule="atLeast"/>
        </w:trPr>
        <w:tc>
          <w:tcPr>
            <w:tcW w:w="445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抗疫捐赠护目镜（向交警队、派出所、街道办捐赠）</w:t>
            </w:r>
          </w:p>
        </w:tc>
        <w:tc>
          <w:tcPr>
            <w:tcW w:w="19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2020.2.10</w:t>
            </w:r>
          </w:p>
        </w:tc>
        <w:tc>
          <w:tcPr>
            <w:tcW w:w="17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cs="Times New Roman" w:asciiTheme="minorEastAsia" w:hAnsiTheme="minorEastAsia" w:eastAsiaTheme="minorEastAsia"/>
                <w:color w:val="auto"/>
                <w:kern w:val="0"/>
                <w:sz w:val="24"/>
                <w:szCs w:val="24"/>
                <w:highlight w:val="none"/>
                <w:lang w:val="en-US" w:eastAsia="zh-CN"/>
              </w:rPr>
            </w:pPr>
            <w:r>
              <w:rPr>
                <w:rFonts w:hint="eastAsia" w:cs="Times New Roman" w:asciiTheme="minorEastAsia" w:hAnsiTheme="minorEastAsia"/>
                <w:color w:val="auto"/>
                <w:kern w:val="0"/>
                <w:sz w:val="24"/>
                <w:szCs w:val="24"/>
                <w:highlight w:val="none"/>
                <w:lang w:val="en-US" w:eastAsia="zh-CN"/>
              </w:rPr>
              <w:t>若干</w:t>
            </w:r>
          </w:p>
        </w:tc>
      </w:tr>
    </w:tbl>
    <w:p>
      <w:pPr>
        <w:spacing w:line="360" w:lineRule="auto"/>
        <w:rPr>
          <w:rFonts w:cs="Times New Roman" w:asciiTheme="minorEastAsia" w:hAnsiTheme="minorEastAsia"/>
          <w:kern w:val="0"/>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Narrow">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drawing>
        <wp:inline distT="0" distB="0" distL="0" distR="0">
          <wp:extent cx="1310640" cy="42418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71670" cy="4444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DDC"/>
    <w:multiLevelType w:val="multilevel"/>
    <w:tmpl w:val="04600DD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36"/>
    <w:rsid w:val="000001E5"/>
    <w:rsid w:val="00004397"/>
    <w:rsid w:val="00036A7A"/>
    <w:rsid w:val="00040AD1"/>
    <w:rsid w:val="000437A1"/>
    <w:rsid w:val="00051026"/>
    <w:rsid w:val="000519DC"/>
    <w:rsid w:val="00066D0C"/>
    <w:rsid w:val="00093D9A"/>
    <w:rsid w:val="000B0879"/>
    <w:rsid w:val="000C3B69"/>
    <w:rsid w:val="000F2948"/>
    <w:rsid w:val="00116ECF"/>
    <w:rsid w:val="00131595"/>
    <w:rsid w:val="001420F3"/>
    <w:rsid w:val="00165DCC"/>
    <w:rsid w:val="00177B85"/>
    <w:rsid w:val="00186145"/>
    <w:rsid w:val="001A32F1"/>
    <w:rsid w:val="001B196B"/>
    <w:rsid w:val="001F2219"/>
    <w:rsid w:val="001F317C"/>
    <w:rsid w:val="001F73E7"/>
    <w:rsid w:val="0020185A"/>
    <w:rsid w:val="00205BD5"/>
    <w:rsid w:val="00225468"/>
    <w:rsid w:val="00233AAC"/>
    <w:rsid w:val="00234E6C"/>
    <w:rsid w:val="00241399"/>
    <w:rsid w:val="0024604C"/>
    <w:rsid w:val="0026728E"/>
    <w:rsid w:val="00273CA9"/>
    <w:rsid w:val="002827AB"/>
    <w:rsid w:val="002B6B4E"/>
    <w:rsid w:val="002E6A2A"/>
    <w:rsid w:val="003209F3"/>
    <w:rsid w:val="00330422"/>
    <w:rsid w:val="003573D2"/>
    <w:rsid w:val="00377118"/>
    <w:rsid w:val="00385FB5"/>
    <w:rsid w:val="00397853"/>
    <w:rsid w:val="003C2E66"/>
    <w:rsid w:val="003C2FB7"/>
    <w:rsid w:val="003C7121"/>
    <w:rsid w:val="003F0C1A"/>
    <w:rsid w:val="004432F6"/>
    <w:rsid w:val="00463CC3"/>
    <w:rsid w:val="00470384"/>
    <w:rsid w:val="004839EA"/>
    <w:rsid w:val="00485095"/>
    <w:rsid w:val="004978CF"/>
    <w:rsid w:val="004A06E6"/>
    <w:rsid w:val="004A48E7"/>
    <w:rsid w:val="004B21B4"/>
    <w:rsid w:val="004F3952"/>
    <w:rsid w:val="005177C0"/>
    <w:rsid w:val="00554B93"/>
    <w:rsid w:val="00555AC2"/>
    <w:rsid w:val="0057588D"/>
    <w:rsid w:val="00575CB2"/>
    <w:rsid w:val="005A5A6F"/>
    <w:rsid w:val="005C7BEC"/>
    <w:rsid w:val="005E6966"/>
    <w:rsid w:val="00603844"/>
    <w:rsid w:val="006278F0"/>
    <w:rsid w:val="00634892"/>
    <w:rsid w:val="006358FF"/>
    <w:rsid w:val="00637B07"/>
    <w:rsid w:val="00644EFD"/>
    <w:rsid w:val="006644E1"/>
    <w:rsid w:val="00667FBF"/>
    <w:rsid w:val="006717C8"/>
    <w:rsid w:val="00671E41"/>
    <w:rsid w:val="00686622"/>
    <w:rsid w:val="006C19F4"/>
    <w:rsid w:val="006F0218"/>
    <w:rsid w:val="006F6F50"/>
    <w:rsid w:val="00703B80"/>
    <w:rsid w:val="00714A72"/>
    <w:rsid w:val="00714C31"/>
    <w:rsid w:val="007163AE"/>
    <w:rsid w:val="00716577"/>
    <w:rsid w:val="00730453"/>
    <w:rsid w:val="00730A7E"/>
    <w:rsid w:val="00736DA1"/>
    <w:rsid w:val="00767175"/>
    <w:rsid w:val="0078520C"/>
    <w:rsid w:val="00793FD8"/>
    <w:rsid w:val="007949D8"/>
    <w:rsid w:val="007B1A38"/>
    <w:rsid w:val="007D3629"/>
    <w:rsid w:val="007F6C94"/>
    <w:rsid w:val="0081344C"/>
    <w:rsid w:val="00824AF2"/>
    <w:rsid w:val="00880AAF"/>
    <w:rsid w:val="008840F8"/>
    <w:rsid w:val="008B0FC2"/>
    <w:rsid w:val="008B2A22"/>
    <w:rsid w:val="008B7331"/>
    <w:rsid w:val="008C5277"/>
    <w:rsid w:val="008D6DB7"/>
    <w:rsid w:val="008E7DC2"/>
    <w:rsid w:val="008F527C"/>
    <w:rsid w:val="00902A23"/>
    <w:rsid w:val="009112BB"/>
    <w:rsid w:val="00930314"/>
    <w:rsid w:val="0094693B"/>
    <w:rsid w:val="00951B16"/>
    <w:rsid w:val="00966680"/>
    <w:rsid w:val="009811C7"/>
    <w:rsid w:val="00992744"/>
    <w:rsid w:val="009A0384"/>
    <w:rsid w:val="009B3814"/>
    <w:rsid w:val="009F0B5B"/>
    <w:rsid w:val="009F0CD8"/>
    <w:rsid w:val="009F5B39"/>
    <w:rsid w:val="009F7CA5"/>
    <w:rsid w:val="009F7FA0"/>
    <w:rsid w:val="00A30274"/>
    <w:rsid w:val="00A31629"/>
    <w:rsid w:val="00A322BA"/>
    <w:rsid w:val="00A34090"/>
    <w:rsid w:val="00A35D62"/>
    <w:rsid w:val="00A41920"/>
    <w:rsid w:val="00A8779C"/>
    <w:rsid w:val="00AE5531"/>
    <w:rsid w:val="00B1748F"/>
    <w:rsid w:val="00B17748"/>
    <w:rsid w:val="00B355F3"/>
    <w:rsid w:val="00B41AA4"/>
    <w:rsid w:val="00B476B3"/>
    <w:rsid w:val="00B575F2"/>
    <w:rsid w:val="00B65A19"/>
    <w:rsid w:val="00B7013E"/>
    <w:rsid w:val="00B81A74"/>
    <w:rsid w:val="00B9573E"/>
    <w:rsid w:val="00BA0555"/>
    <w:rsid w:val="00BA5798"/>
    <w:rsid w:val="00BB2768"/>
    <w:rsid w:val="00BD23D5"/>
    <w:rsid w:val="00BD71E6"/>
    <w:rsid w:val="00BF63C4"/>
    <w:rsid w:val="00C0783F"/>
    <w:rsid w:val="00C11EF1"/>
    <w:rsid w:val="00C5360B"/>
    <w:rsid w:val="00C62CC5"/>
    <w:rsid w:val="00C72D50"/>
    <w:rsid w:val="00C75F8D"/>
    <w:rsid w:val="00C76CCB"/>
    <w:rsid w:val="00C93C36"/>
    <w:rsid w:val="00CC6321"/>
    <w:rsid w:val="00CC6FE8"/>
    <w:rsid w:val="00CD5536"/>
    <w:rsid w:val="00CD5A41"/>
    <w:rsid w:val="00CD6E6A"/>
    <w:rsid w:val="00CE52C8"/>
    <w:rsid w:val="00CE73FD"/>
    <w:rsid w:val="00CF5AE9"/>
    <w:rsid w:val="00D0108B"/>
    <w:rsid w:val="00D43FE8"/>
    <w:rsid w:val="00D56F1C"/>
    <w:rsid w:val="00D76656"/>
    <w:rsid w:val="00D77F15"/>
    <w:rsid w:val="00D82A94"/>
    <w:rsid w:val="00D958DE"/>
    <w:rsid w:val="00DA3FF1"/>
    <w:rsid w:val="00DC004C"/>
    <w:rsid w:val="00DE2DFB"/>
    <w:rsid w:val="00DE4754"/>
    <w:rsid w:val="00DF4F7B"/>
    <w:rsid w:val="00E1560D"/>
    <w:rsid w:val="00E23FAD"/>
    <w:rsid w:val="00E52188"/>
    <w:rsid w:val="00E560FF"/>
    <w:rsid w:val="00E62080"/>
    <w:rsid w:val="00EA43FF"/>
    <w:rsid w:val="00EC5685"/>
    <w:rsid w:val="00ED47AF"/>
    <w:rsid w:val="00EF7FEC"/>
    <w:rsid w:val="00F02061"/>
    <w:rsid w:val="00F72C6E"/>
    <w:rsid w:val="00F73F58"/>
    <w:rsid w:val="00FA38C3"/>
    <w:rsid w:val="00FC3183"/>
    <w:rsid w:val="01915353"/>
    <w:rsid w:val="03AF34A2"/>
    <w:rsid w:val="05205355"/>
    <w:rsid w:val="060374E1"/>
    <w:rsid w:val="099C3C23"/>
    <w:rsid w:val="0E92577A"/>
    <w:rsid w:val="15E4163C"/>
    <w:rsid w:val="1FE32AA5"/>
    <w:rsid w:val="223775AC"/>
    <w:rsid w:val="23DB1D7E"/>
    <w:rsid w:val="260B328E"/>
    <w:rsid w:val="277B0325"/>
    <w:rsid w:val="28C07367"/>
    <w:rsid w:val="2B681337"/>
    <w:rsid w:val="2E5A64A6"/>
    <w:rsid w:val="2F91426B"/>
    <w:rsid w:val="31726B84"/>
    <w:rsid w:val="35900E6B"/>
    <w:rsid w:val="400A09BF"/>
    <w:rsid w:val="48D811F5"/>
    <w:rsid w:val="4E5A19FE"/>
    <w:rsid w:val="52631F37"/>
    <w:rsid w:val="5965519C"/>
    <w:rsid w:val="5F7610AD"/>
    <w:rsid w:val="5F7E31F1"/>
    <w:rsid w:val="63A368F8"/>
    <w:rsid w:val="69D13148"/>
    <w:rsid w:val="6C45775B"/>
    <w:rsid w:val="6D25245D"/>
    <w:rsid w:val="732F36FA"/>
    <w:rsid w:val="75332B1D"/>
    <w:rsid w:val="78746025"/>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qFormat/>
    <w:uiPriority w:val="9"/>
    <w:pPr>
      <w:keepNext/>
      <w:keepLines/>
      <w:spacing w:before="60" w:after="60"/>
      <w:outlineLvl w:val="2"/>
    </w:pPr>
    <w:rPr>
      <w:rFonts w:ascii="Calibri" w:hAnsi="Calibri" w:eastAsia="宋体" w:cs="Times New Roman"/>
      <w:b/>
      <w:bCs/>
      <w:szCs w:val="32"/>
    </w:rPr>
  </w:style>
  <w:style w:type="paragraph" w:styleId="5">
    <w:name w:val="heading 4"/>
    <w:basedOn w:val="1"/>
    <w:next w:val="1"/>
    <w:link w:val="59"/>
    <w:qFormat/>
    <w:uiPriority w:val="9"/>
    <w:pPr>
      <w:keepNext/>
      <w:keepLines/>
      <w:spacing w:before="60" w:after="60"/>
      <w:outlineLvl w:val="3"/>
    </w:pPr>
    <w:rPr>
      <w:rFonts w:ascii="Cambria" w:hAnsi="Cambria" w:eastAsia="宋体" w:cs="Times New Roman"/>
      <w:b/>
      <w:bCs/>
      <w:szCs w:val="28"/>
    </w:rPr>
  </w:style>
  <w:style w:type="paragraph" w:styleId="6">
    <w:name w:val="heading 5"/>
    <w:basedOn w:val="1"/>
    <w:next w:val="1"/>
    <w:link w:val="60"/>
    <w:qFormat/>
    <w:uiPriority w:val="9"/>
    <w:pPr>
      <w:keepNext/>
      <w:keepLines/>
      <w:spacing w:before="60" w:after="60"/>
      <w:outlineLvl w:val="4"/>
    </w:pPr>
    <w:rPr>
      <w:rFonts w:ascii="Calibri" w:hAnsi="Calibri" w:eastAsia="宋体" w:cs="Times New Roman"/>
      <w:b/>
      <w:bCs/>
      <w:szCs w:val="28"/>
    </w:rPr>
  </w:style>
  <w:style w:type="paragraph" w:styleId="7">
    <w:name w:val="heading 6"/>
    <w:basedOn w:val="1"/>
    <w:next w:val="1"/>
    <w:link w:val="61"/>
    <w:unhideWhenUsed/>
    <w:qFormat/>
    <w:uiPriority w:val="9"/>
    <w:pPr>
      <w:keepNext/>
      <w:keepLines/>
      <w:widowControl/>
      <w:spacing w:before="60" w:after="60"/>
      <w:jc w:val="left"/>
      <w:outlineLvl w:val="5"/>
    </w:pPr>
    <w:rPr>
      <w:rFonts w:eastAsia="宋体" w:asciiTheme="majorHAnsi" w:hAnsiTheme="majorHAnsi" w:cstheme="majorBidi"/>
      <w:b/>
      <w:bCs/>
      <w:kern w:val="0"/>
      <w:szCs w:val="24"/>
    </w:rPr>
  </w:style>
  <w:style w:type="paragraph" w:styleId="8">
    <w:name w:val="heading 7"/>
    <w:basedOn w:val="1"/>
    <w:next w:val="1"/>
    <w:link w:val="62"/>
    <w:unhideWhenUsed/>
    <w:qFormat/>
    <w:uiPriority w:val="9"/>
    <w:pPr>
      <w:keepNext/>
      <w:keepLines/>
      <w:widowControl/>
      <w:spacing w:before="240" w:after="64" w:line="320" w:lineRule="auto"/>
      <w:jc w:val="left"/>
      <w:outlineLvl w:val="6"/>
    </w:pPr>
    <w:rPr>
      <w:rFonts w:ascii="宋体" w:hAnsi="宋体" w:eastAsia="宋体" w:cs="宋体"/>
      <w:b/>
      <w:bCs/>
      <w:kern w:val="0"/>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2520" w:leftChars="1200"/>
    </w:pPr>
  </w:style>
  <w:style w:type="paragraph" w:styleId="10">
    <w:name w:val="Note Heading"/>
    <w:basedOn w:val="1"/>
    <w:next w:val="1"/>
    <w:link w:val="71"/>
    <w:qFormat/>
    <w:uiPriority w:val="99"/>
    <w:pPr>
      <w:jc w:val="center"/>
    </w:pPr>
    <w:rPr>
      <w:rFonts w:ascii="Times New Roman" w:hAnsi="Times New Roman" w:eastAsia="宋体" w:cs="Times New Roman"/>
      <w:szCs w:val="21"/>
    </w:rPr>
  </w:style>
  <w:style w:type="paragraph" w:styleId="11">
    <w:name w:val="Normal Indent"/>
    <w:basedOn w:val="1"/>
    <w:qFormat/>
    <w:uiPriority w:val="0"/>
    <w:pPr>
      <w:ind w:firstLine="420" w:firstLineChars="200"/>
    </w:pPr>
    <w:rPr>
      <w:rFonts w:ascii="Times New Roman" w:hAnsi="Times New Roman" w:eastAsia="宋体" w:cs="Times New Roman"/>
      <w:szCs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76"/>
    <w:unhideWhenUsed/>
    <w:qFormat/>
    <w:uiPriority w:val="99"/>
    <w:rPr>
      <w:rFonts w:ascii="宋体" w:hAnsi="Calibri" w:eastAsia="宋体" w:cs="Times New Roman"/>
      <w:sz w:val="18"/>
      <w:szCs w:val="18"/>
    </w:rPr>
  </w:style>
  <w:style w:type="paragraph" w:styleId="14">
    <w:name w:val="toa heading"/>
    <w:basedOn w:val="1"/>
    <w:next w:val="1"/>
    <w:semiHidden/>
    <w:qFormat/>
    <w:uiPriority w:val="0"/>
    <w:pPr>
      <w:spacing w:before="120"/>
    </w:pPr>
    <w:rPr>
      <w:rFonts w:ascii="Arial" w:hAnsi="Arial" w:eastAsia="宋体" w:cs="Times New Roman"/>
      <w:b/>
      <w:bCs/>
      <w:szCs w:val="21"/>
    </w:rPr>
  </w:style>
  <w:style w:type="paragraph" w:styleId="15">
    <w:name w:val="annotation text"/>
    <w:basedOn w:val="1"/>
    <w:link w:val="52"/>
    <w:unhideWhenUsed/>
    <w:qFormat/>
    <w:uiPriority w:val="99"/>
    <w:pPr>
      <w:jc w:val="left"/>
    </w:pPr>
  </w:style>
  <w:style w:type="paragraph" w:styleId="16">
    <w:name w:val="Salutation"/>
    <w:basedOn w:val="1"/>
    <w:next w:val="1"/>
    <w:link w:val="63"/>
    <w:qFormat/>
    <w:uiPriority w:val="99"/>
    <w:rPr>
      <w:rFonts w:ascii="Times New Roman" w:hAnsi="Times New Roman" w:eastAsia="宋体" w:cs="Times New Roman"/>
      <w:szCs w:val="21"/>
    </w:rPr>
  </w:style>
  <w:style w:type="paragraph" w:styleId="17">
    <w:name w:val="List Bullet 3"/>
    <w:basedOn w:val="1"/>
    <w:qFormat/>
    <w:uiPriority w:val="0"/>
    <w:pPr>
      <w:tabs>
        <w:tab w:val="left" w:pos="1200"/>
      </w:tabs>
    </w:pPr>
    <w:rPr>
      <w:rFonts w:ascii="Times New Roman" w:hAnsi="Times New Roman" w:eastAsia="宋体" w:cs="Times New Roman"/>
      <w:szCs w:val="21"/>
    </w:rPr>
  </w:style>
  <w:style w:type="paragraph" w:styleId="18">
    <w:name w:val="Body Text"/>
    <w:basedOn w:val="1"/>
    <w:link w:val="68"/>
    <w:qFormat/>
    <w:uiPriority w:val="99"/>
    <w:pPr>
      <w:spacing w:after="120"/>
    </w:pPr>
    <w:rPr>
      <w:rFonts w:ascii="Times New Roman" w:hAnsi="Times New Roman" w:eastAsia="宋体" w:cs="Times New Roman"/>
      <w:szCs w:val="21"/>
    </w:rPr>
  </w:style>
  <w:style w:type="paragraph" w:styleId="19">
    <w:name w:val="Body Text Indent"/>
    <w:basedOn w:val="1"/>
    <w:qFormat/>
    <w:uiPriority w:val="0"/>
    <w:pPr>
      <w:spacing w:line="480" w:lineRule="exact"/>
      <w:ind w:firstLine="480" w:firstLineChars="200"/>
    </w:pPr>
    <w:rPr>
      <w:sz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2">
    <w:name w:val="Plain Text"/>
    <w:basedOn w:val="1"/>
    <w:link w:val="66"/>
    <w:qFormat/>
    <w:uiPriority w:val="0"/>
    <w:rPr>
      <w:rFonts w:ascii="宋体" w:hAnsi="Courier New" w:eastAsia="宋体" w:cs="Times New Roman"/>
      <w:szCs w:val="20"/>
    </w:rPr>
  </w:style>
  <w:style w:type="paragraph" w:styleId="23">
    <w:name w:val="toc 8"/>
    <w:basedOn w:val="1"/>
    <w:next w:val="1"/>
    <w:unhideWhenUsed/>
    <w:qFormat/>
    <w:uiPriority w:val="39"/>
    <w:pPr>
      <w:ind w:left="2940" w:leftChars="1400"/>
    </w:pPr>
  </w:style>
  <w:style w:type="paragraph" w:styleId="24">
    <w:name w:val="Date"/>
    <w:basedOn w:val="1"/>
    <w:next w:val="1"/>
    <w:link w:val="70"/>
    <w:qFormat/>
    <w:uiPriority w:val="99"/>
    <w:pPr>
      <w:ind w:left="100" w:leftChars="2500"/>
    </w:pPr>
    <w:rPr>
      <w:rFonts w:ascii="Times New Roman" w:hAnsi="Times New Roman" w:eastAsia="宋体" w:cs="Times New Roman"/>
      <w:szCs w:val="21"/>
    </w:rPr>
  </w:style>
  <w:style w:type="paragraph" w:styleId="25">
    <w:name w:val="endnote text"/>
    <w:basedOn w:val="1"/>
    <w:link w:val="80"/>
    <w:unhideWhenUsed/>
    <w:qFormat/>
    <w:uiPriority w:val="99"/>
    <w:pPr>
      <w:widowControl/>
      <w:snapToGrid w:val="0"/>
      <w:jc w:val="left"/>
    </w:pPr>
    <w:rPr>
      <w:rFonts w:ascii="宋体" w:hAnsi="宋体" w:eastAsia="宋体" w:cs="宋体"/>
      <w:kern w:val="0"/>
      <w:szCs w:val="24"/>
    </w:rPr>
  </w:style>
  <w:style w:type="paragraph" w:styleId="26">
    <w:name w:val="Balloon Text"/>
    <w:basedOn w:val="1"/>
    <w:link w:val="54"/>
    <w:unhideWhenUsed/>
    <w:qFormat/>
    <w:uiPriority w:val="99"/>
    <w:rPr>
      <w:sz w:val="18"/>
      <w:szCs w:val="18"/>
    </w:rPr>
  </w:style>
  <w:style w:type="paragraph" w:styleId="27">
    <w:name w:val="footer"/>
    <w:basedOn w:val="1"/>
    <w:link w:val="46"/>
    <w:unhideWhenUsed/>
    <w:qFormat/>
    <w:uiPriority w:val="99"/>
    <w:pPr>
      <w:tabs>
        <w:tab w:val="center" w:pos="4153"/>
        <w:tab w:val="right" w:pos="8306"/>
      </w:tabs>
      <w:snapToGrid w:val="0"/>
      <w:jc w:val="left"/>
    </w:pPr>
    <w:rPr>
      <w:sz w:val="18"/>
      <w:szCs w:val="18"/>
    </w:rPr>
  </w:style>
  <w:style w:type="paragraph" w:styleId="28">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1260" w:leftChars="600"/>
    </w:pPr>
  </w:style>
  <w:style w:type="paragraph" w:styleId="31">
    <w:name w:val="toc 6"/>
    <w:basedOn w:val="1"/>
    <w:next w:val="1"/>
    <w:unhideWhenUsed/>
    <w:qFormat/>
    <w:uiPriority w:val="39"/>
    <w:pPr>
      <w:ind w:left="2100" w:leftChars="1000"/>
    </w:pPr>
  </w:style>
  <w:style w:type="paragraph" w:styleId="32">
    <w:name w:val="toc 2"/>
    <w:basedOn w:val="1"/>
    <w:next w:val="1"/>
    <w:unhideWhenUsed/>
    <w:qFormat/>
    <w:uiPriority w:val="39"/>
    <w:pPr>
      <w:ind w:left="420" w:leftChars="200"/>
    </w:pPr>
  </w:style>
  <w:style w:type="paragraph" w:styleId="33">
    <w:name w:val="toc 9"/>
    <w:basedOn w:val="1"/>
    <w:next w:val="1"/>
    <w:unhideWhenUsed/>
    <w:qFormat/>
    <w:uiPriority w:val="39"/>
    <w:pPr>
      <w:ind w:left="3360" w:leftChars="1600"/>
    </w:pPr>
  </w:style>
  <w:style w:type="paragraph" w:styleId="3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36">
    <w:name w:val="Title"/>
    <w:basedOn w:val="1"/>
    <w:next w:val="1"/>
    <w:link w:val="78"/>
    <w:qFormat/>
    <w:uiPriority w:val="0"/>
    <w:pPr>
      <w:spacing w:before="240" w:after="60"/>
      <w:jc w:val="center"/>
      <w:outlineLvl w:val="0"/>
    </w:pPr>
    <w:rPr>
      <w:rFonts w:eastAsia="宋体" w:asciiTheme="majorHAnsi" w:hAnsiTheme="majorHAnsi" w:cstheme="majorBidi"/>
      <w:b/>
      <w:bCs/>
      <w:sz w:val="32"/>
      <w:szCs w:val="32"/>
    </w:rPr>
  </w:style>
  <w:style w:type="paragraph" w:styleId="37">
    <w:name w:val="annotation subject"/>
    <w:basedOn w:val="15"/>
    <w:next w:val="15"/>
    <w:link w:val="53"/>
    <w:unhideWhenUsed/>
    <w:qFormat/>
    <w:uiPriority w:val="99"/>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endnote reference"/>
    <w:basedOn w:val="40"/>
    <w:unhideWhenUsed/>
    <w:qFormat/>
    <w:uiPriority w:val="99"/>
    <w:rPr>
      <w:vertAlign w:val="superscript"/>
    </w:rPr>
  </w:style>
  <w:style w:type="character" w:styleId="42">
    <w:name w:val="page number"/>
    <w:basedOn w:val="40"/>
    <w:qFormat/>
    <w:uiPriority w:val="0"/>
  </w:style>
  <w:style w:type="character" w:styleId="43">
    <w:name w:val="Hyperlink"/>
    <w:basedOn w:val="40"/>
    <w:unhideWhenUsed/>
    <w:qFormat/>
    <w:uiPriority w:val="99"/>
    <w:rPr>
      <w:color w:val="0563C1" w:themeColor="hyperlink"/>
      <w:u w:val="single"/>
      <w14:textFill>
        <w14:solidFill>
          <w14:schemeClr w14:val="hlink"/>
        </w14:solidFill>
      </w14:textFill>
    </w:rPr>
  </w:style>
  <w:style w:type="character" w:styleId="44">
    <w:name w:val="annotation reference"/>
    <w:basedOn w:val="40"/>
    <w:unhideWhenUsed/>
    <w:qFormat/>
    <w:uiPriority w:val="0"/>
    <w:rPr>
      <w:sz w:val="21"/>
      <w:szCs w:val="21"/>
    </w:rPr>
  </w:style>
  <w:style w:type="character" w:customStyle="1" w:styleId="45">
    <w:name w:val="页眉 字符"/>
    <w:basedOn w:val="40"/>
    <w:link w:val="28"/>
    <w:qFormat/>
    <w:uiPriority w:val="99"/>
    <w:rPr>
      <w:sz w:val="18"/>
      <w:szCs w:val="18"/>
    </w:rPr>
  </w:style>
  <w:style w:type="character" w:customStyle="1" w:styleId="46">
    <w:name w:val="页脚 字符"/>
    <w:basedOn w:val="40"/>
    <w:link w:val="27"/>
    <w:qFormat/>
    <w:uiPriority w:val="99"/>
    <w:rPr>
      <w:sz w:val="18"/>
      <w:szCs w:val="18"/>
    </w:rPr>
  </w:style>
  <w:style w:type="paragraph" w:customStyle="1" w:styleId="47">
    <w:name w:val="aSTL正文"/>
    <w:basedOn w:val="1"/>
    <w:link w:val="48"/>
    <w:qFormat/>
    <w:uiPriority w:val="0"/>
    <w:pPr>
      <w:spacing w:line="300" w:lineRule="auto"/>
      <w:ind w:firstLine="200" w:firstLineChars="200"/>
    </w:pPr>
    <w:rPr>
      <w:rFonts w:ascii="Calibri" w:hAnsi="Calibri" w:eastAsia="宋体" w:cs="Times New Roman"/>
      <w:kern w:val="0"/>
      <w:sz w:val="24"/>
      <w:szCs w:val="20"/>
      <w:lang w:val="zh-CN"/>
    </w:rPr>
  </w:style>
  <w:style w:type="character" w:customStyle="1" w:styleId="48">
    <w:name w:val="aSTL正文 Char"/>
    <w:link w:val="47"/>
    <w:qFormat/>
    <w:uiPriority w:val="0"/>
    <w:rPr>
      <w:rFonts w:ascii="Calibri" w:hAnsi="Calibri" w:eastAsia="宋体" w:cs="Times New Roman"/>
      <w:kern w:val="0"/>
      <w:sz w:val="24"/>
      <w:szCs w:val="20"/>
      <w:lang w:val="zh-CN" w:eastAsia="zh-CN"/>
    </w:rPr>
  </w:style>
  <w:style w:type="paragraph" w:customStyle="1" w:styleId="49">
    <w:name w:val="4.1.1.1.1"/>
    <w:basedOn w:val="1"/>
    <w:link w:val="50"/>
    <w:qFormat/>
    <w:uiPriority w:val="0"/>
    <w:pPr>
      <w:tabs>
        <w:tab w:val="left" w:pos="142"/>
      </w:tabs>
      <w:spacing w:beforeLines="50" w:afterLines="50"/>
      <w:ind w:left="200" w:leftChars="200"/>
      <w:jc w:val="left"/>
      <w:outlineLvl w:val="3"/>
    </w:pPr>
    <w:rPr>
      <w:rFonts w:ascii="宋体" w:hAnsi="宋体" w:eastAsia="宋体" w:cs="Times New Roman"/>
      <w:b/>
      <w:color w:val="000000"/>
      <w:kern w:val="0"/>
      <w:sz w:val="24"/>
      <w:szCs w:val="24"/>
      <w:lang w:val="zh-CN"/>
    </w:rPr>
  </w:style>
  <w:style w:type="character" w:customStyle="1" w:styleId="50">
    <w:name w:val="4.1.1.1.1 Char"/>
    <w:link w:val="49"/>
    <w:qFormat/>
    <w:uiPriority w:val="0"/>
    <w:rPr>
      <w:rFonts w:ascii="宋体" w:hAnsi="宋体" w:eastAsia="宋体" w:cs="Times New Roman"/>
      <w:b/>
      <w:color w:val="000000"/>
      <w:kern w:val="0"/>
      <w:sz w:val="24"/>
      <w:szCs w:val="24"/>
      <w:lang w:val="zh-CN" w:eastAsia="zh-CN"/>
    </w:rPr>
  </w:style>
  <w:style w:type="paragraph" w:styleId="51">
    <w:name w:val="List Paragraph"/>
    <w:basedOn w:val="1"/>
    <w:qFormat/>
    <w:uiPriority w:val="34"/>
    <w:pPr>
      <w:ind w:firstLine="420" w:firstLineChars="200"/>
    </w:pPr>
    <w:rPr>
      <w:rFonts w:ascii="Calibri" w:hAnsi="Calibri" w:eastAsia="宋体" w:cs="Times New Roman"/>
    </w:rPr>
  </w:style>
  <w:style w:type="character" w:customStyle="1" w:styleId="52">
    <w:name w:val="批注文字 字符"/>
    <w:basedOn w:val="40"/>
    <w:link w:val="15"/>
    <w:qFormat/>
    <w:uiPriority w:val="99"/>
  </w:style>
  <w:style w:type="character" w:customStyle="1" w:styleId="53">
    <w:name w:val="批注主题 字符"/>
    <w:basedOn w:val="52"/>
    <w:link w:val="37"/>
    <w:qFormat/>
    <w:uiPriority w:val="99"/>
    <w:rPr>
      <w:b/>
      <w:bCs/>
    </w:rPr>
  </w:style>
  <w:style w:type="character" w:customStyle="1" w:styleId="54">
    <w:name w:val="批注框文本 字符"/>
    <w:basedOn w:val="40"/>
    <w:link w:val="26"/>
    <w:qFormat/>
    <w:uiPriority w:val="99"/>
    <w:rPr>
      <w:sz w:val="18"/>
      <w:szCs w:val="18"/>
    </w:rPr>
  </w:style>
  <w:style w:type="character" w:customStyle="1" w:styleId="55">
    <w:name w:val="标题 1 字符"/>
    <w:basedOn w:val="40"/>
    <w:link w:val="2"/>
    <w:qFormat/>
    <w:uiPriority w:val="99"/>
    <w:rPr>
      <w:b/>
      <w:bCs/>
      <w:kern w:val="44"/>
      <w:sz w:val="44"/>
      <w:szCs w:val="44"/>
    </w:rPr>
  </w:style>
  <w:style w:type="paragraph" w:customStyle="1" w:styleId="5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标题 2 字符"/>
    <w:basedOn w:val="40"/>
    <w:link w:val="3"/>
    <w:qFormat/>
    <w:uiPriority w:val="0"/>
    <w:rPr>
      <w:rFonts w:asciiTheme="majorHAnsi" w:hAnsiTheme="majorHAnsi" w:eastAsiaTheme="majorEastAsia" w:cstheme="majorBidi"/>
      <w:b/>
      <w:bCs/>
      <w:sz w:val="32"/>
      <w:szCs w:val="32"/>
    </w:rPr>
  </w:style>
  <w:style w:type="character" w:customStyle="1" w:styleId="58">
    <w:name w:val="标题 3 字符"/>
    <w:basedOn w:val="40"/>
    <w:link w:val="4"/>
    <w:qFormat/>
    <w:uiPriority w:val="9"/>
    <w:rPr>
      <w:rFonts w:ascii="Calibri" w:hAnsi="Calibri" w:eastAsia="宋体" w:cs="Times New Roman"/>
      <w:b/>
      <w:bCs/>
      <w:szCs w:val="32"/>
    </w:rPr>
  </w:style>
  <w:style w:type="character" w:customStyle="1" w:styleId="59">
    <w:name w:val="标题 4 字符"/>
    <w:basedOn w:val="40"/>
    <w:link w:val="5"/>
    <w:qFormat/>
    <w:uiPriority w:val="9"/>
    <w:rPr>
      <w:rFonts w:ascii="Cambria" w:hAnsi="Cambria" w:eastAsia="宋体" w:cs="Times New Roman"/>
      <w:b/>
      <w:bCs/>
      <w:szCs w:val="28"/>
    </w:rPr>
  </w:style>
  <w:style w:type="character" w:customStyle="1" w:styleId="60">
    <w:name w:val="标题 5 字符"/>
    <w:basedOn w:val="40"/>
    <w:link w:val="6"/>
    <w:qFormat/>
    <w:uiPriority w:val="9"/>
    <w:rPr>
      <w:rFonts w:ascii="Calibri" w:hAnsi="Calibri" w:eastAsia="宋体" w:cs="Times New Roman"/>
      <w:b/>
      <w:bCs/>
      <w:szCs w:val="28"/>
    </w:rPr>
  </w:style>
  <w:style w:type="character" w:customStyle="1" w:styleId="61">
    <w:name w:val="标题 6 字符"/>
    <w:basedOn w:val="40"/>
    <w:link w:val="7"/>
    <w:qFormat/>
    <w:uiPriority w:val="9"/>
    <w:rPr>
      <w:rFonts w:eastAsia="宋体" w:asciiTheme="majorHAnsi" w:hAnsiTheme="majorHAnsi" w:cstheme="majorBidi"/>
      <w:b/>
      <w:bCs/>
      <w:kern w:val="0"/>
      <w:szCs w:val="24"/>
    </w:rPr>
  </w:style>
  <w:style w:type="character" w:customStyle="1" w:styleId="62">
    <w:name w:val="标题 7 字符"/>
    <w:basedOn w:val="40"/>
    <w:link w:val="8"/>
    <w:qFormat/>
    <w:uiPriority w:val="9"/>
    <w:rPr>
      <w:rFonts w:ascii="宋体" w:hAnsi="宋体" w:eastAsia="宋体" w:cs="宋体"/>
      <w:b/>
      <w:bCs/>
      <w:kern w:val="0"/>
      <w:sz w:val="24"/>
      <w:szCs w:val="24"/>
    </w:rPr>
  </w:style>
  <w:style w:type="character" w:customStyle="1" w:styleId="63">
    <w:name w:val="称呼 字符"/>
    <w:basedOn w:val="40"/>
    <w:link w:val="16"/>
    <w:qFormat/>
    <w:uiPriority w:val="99"/>
    <w:rPr>
      <w:rFonts w:ascii="Times New Roman" w:hAnsi="Times New Roman" w:eastAsia="宋体" w:cs="Times New Roman"/>
      <w:szCs w:val="21"/>
    </w:rPr>
  </w:style>
  <w:style w:type="character" w:customStyle="1" w:styleId="64">
    <w:name w:val="notnullcss1"/>
    <w:basedOn w:val="40"/>
    <w:qFormat/>
    <w:uiPriority w:val="99"/>
    <w:rPr>
      <w:rFonts w:eastAsia="宋体" w:cs="Times New Roman"/>
      <w:color w:val="FF0000"/>
      <w:kern w:val="2"/>
      <w:sz w:val="24"/>
      <w:szCs w:val="24"/>
      <w:lang w:val="en-US" w:eastAsia="zh-CN" w:bidi="ar-SA"/>
    </w:rPr>
  </w:style>
  <w:style w:type="paragraph" w:customStyle="1" w:styleId="65">
    <w:name w:val="xl61"/>
    <w:basedOn w:val="1"/>
    <w:qFormat/>
    <w:uiPriority w:val="99"/>
    <w:pPr>
      <w:widowControl/>
      <w:spacing w:before="100" w:after="100"/>
      <w:jc w:val="right"/>
    </w:pPr>
    <w:rPr>
      <w:rFonts w:ascii="Arial Unicode MS" w:hAnsi="Times New Roman" w:eastAsia="Arial Unicode MS" w:cs="Times New Roman"/>
      <w:kern w:val="0"/>
      <w:sz w:val="18"/>
      <w:szCs w:val="18"/>
    </w:rPr>
  </w:style>
  <w:style w:type="character" w:customStyle="1" w:styleId="66">
    <w:name w:val="纯文本 字符"/>
    <w:basedOn w:val="40"/>
    <w:link w:val="22"/>
    <w:qFormat/>
    <w:uiPriority w:val="0"/>
    <w:rPr>
      <w:rFonts w:ascii="宋体" w:hAnsi="Courier New" w:eastAsia="宋体" w:cs="Times New Roman"/>
      <w:szCs w:val="20"/>
    </w:rPr>
  </w:style>
  <w:style w:type="character" w:customStyle="1" w:styleId="67">
    <w:name w:val="headline-content2"/>
    <w:basedOn w:val="40"/>
    <w:qFormat/>
    <w:uiPriority w:val="0"/>
    <w:rPr>
      <w:rFonts w:eastAsia="宋体" w:cs="Times New Roman"/>
      <w:kern w:val="2"/>
      <w:sz w:val="24"/>
      <w:szCs w:val="24"/>
      <w:lang w:val="en-US" w:eastAsia="zh-CN" w:bidi="ar-SA"/>
    </w:rPr>
  </w:style>
  <w:style w:type="character" w:customStyle="1" w:styleId="68">
    <w:name w:val="正文文本 字符"/>
    <w:basedOn w:val="40"/>
    <w:link w:val="18"/>
    <w:qFormat/>
    <w:uiPriority w:val="99"/>
    <w:rPr>
      <w:rFonts w:ascii="Times New Roman" w:hAnsi="Times New Roman" w:eastAsia="宋体" w:cs="Times New Roman"/>
      <w:szCs w:val="21"/>
    </w:rPr>
  </w:style>
  <w:style w:type="paragraph" w:customStyle="1" w:styleId="69">
    <w:name w:val="write2"/>
    <w:basedOn w:val="1"/>
    <w:qFormat/>
    <w:uiPriority w:val="99"/>
    <w:pPr>
      <w:widowControl/>
      <w:tabs>
        <w:tab w:val="left" w:pos="709"/>
      </w:tabs>
      <w:overflowPunct w:val="0"/>
      <w:autoSpaceDE w:val="0"/>
      <w:autoSpaceDN w:val="0"/>
      <w:adjustRightInd w:val="0"/>
      <w:textAlignment w:val="baseline"/>
    </w:pPr>
    <w:rPr>
      <w:rFonts w:ascii="Helvetica-Narrow" w:hAnsi="Helvetica-Narrow" w:eastAsia="宋体" w:cs="Times New Roman"/>
      <w:kern w:val="0"/>
      <w:szCs w:val="24"/>
      <w:lang w:val="en-AU"/>
    </w:rPr>
  </w:style>
  <w:style w:type="character" w:customStyle="1" w:styleId="70">
    <w:name w:val="日期 字符"/>
    <w:basedOn w:val="40"/>
    <w:link w:val="24"/>
    <w:qFormat/>
    <w:uiPriority w:val="99"/>
    <w:rPr>
      <w:rFonts w:ascii="Times New Roman" w:hAnsi="Times New Roman" w:eastAsia="宋体" w:cs="Times New Roman"/>
      <w:szCs w:val="21"/>
    </w:rPr>
  </w:style>
  <w:style w:type="character" w:customStyle="1" w:styleId="71">
    <w:name w:val="注释标题 字符"/>
    <w:basedOn w:val="40"/>
    <w:link w:val="10"/>
    <w:qFormat/>
    <w:uiPriority w:val="99"/>
    <w:rPr>
      <w:rFonts w:ascii="Times New Roman" w:hAnsi="Times New Roman" w:eastAsia="宋体" w:cs="Times New Roman"/>
      <w:szCs w:val="21"/>
    </w:rPr>
  </w:style>
  <w:style w:type="paragraph" w:customStyle="1" w:styleId="72">
    <w:name w:val="标题5"/>
    <w:basedOn w:val="1"/>
    <w:qFormat/>
    <w:uiPriority w:val="0"/>
    <w:pPr>
      <w:keepNext/>
      <w:keepLines/>
      <w:spacing w:before="60" w:after="60"/>
      <w:ind w:hanging="420" w:hangingChars="200"/>
      <w:outlineLvl w:val="4"/>
    </w:pPr>
    <w:rPr>
      <w:rFonts w:ascii="宋体" w:hAnsi="宋体" w:eastAsia="宋体" w:cs="Times New Roman"/>
      <w:b/>
      <w:bCs/>
      <w:szCs w:val="21"/>
    </w:rPr>
  </w:style>
  <w:style w:type="paragraph" w:customStyle="1" w:styleId="73">
    <w:name w:val="修订1"/>
    <w:hidden/>
    <w:semiHidden/>
    <w:qFormat/>
    <w:uiPriority w:val="99"/>
    <w:rPr>
      <w:rFonts w:ascii="Calibri" w:hAnsi="Calibri" w:eastAsia="宋体" w:cs="Times New Roman"/>
      <w:kern w:val="2"/>
      <w:sz w:val="21"/>
      <w:szCs w:val="22"/>
      <w:lang w:val="en-US" w:eastAsia="zh-CN" w:bidi="ar-SA"/>
    </w:rPr>
  </w:style>
  <w:style w:type="character" w:customStyle="1" w:styleId="74">
    <w:name w:val="正文的样式 Char"/>
    <w:basedOn w:val="40"/>
    <w:link w:val="75"/>
    <w:qFormat/>
    <w:uiPriority w:val="0"/>
    <w:rPr>
      <w:szCs w:val="24"/>
    </w:rPr>
  </w:style>
  <w:style w:type="paragraph" w:customStyle="1" w:styleId="75">
    <w:name w:val="正文的样式"/>
    <w:basedOn w:val="1"/>
    <w:link w:val="74"/>
    <w:qFormat/>
    <w:uiPriority w:val="0"/>
    <w:pPr>
      <w:spacing w:before="100" w:after="100"/>
    </w:pPr>
    <w:rPr>
      <w:szCs w:val="24"/>
    </w:rPr>
  </w:style>
  <w:style w:type="character" w:customStyle="1" w:styleId="76">
    <w:name w:val="文档结构图 字符"/>
    <w:basedOn w:val="40"/>
    <w:link w:val="13"/>
    <w:semiHidden/>
    <w:qFormat/>
    <w:uiPriority w:val="99"/>
    <w:rPr>
      <w:rFonts w:ascii="宋体" w:hAnsi="Calibri" w:eastAsia="宋体" w:cs="Times New Roman"/>
      <w:sz w:val="18"/>
      <w:szCs w:val="18"/>
    </w:rPr>
  </w:style>
  <w:style w:type="character" w:styleId="77">
    <w:name w:val="Placeholder Text"/>
    <w:basedOn w:val="40"/>
    <w:semiHidden/>
    <w:qFormat/>
    <w:uiPriority w:val="99"/>
    <w:rPr>
      <w:color w:val="auto"/>
    </w:rPr>
  </w:style>
  <w:style w:type="character" w:customStyle="1" w:styleId="78">
    <w:name w:val="标题 字符"/>
    <w:basedOn w:val="40"/>
    <w:link w:val="36"/>
    <w:qFormat/>
    <w:uiPriority w:val="0"/>
    <w:rPr>
      <w:rFonts w:eastAsia="宋体" w:asciiTheme="majorHAnsi" w:hAnsiTheme="majorHAnsi" w:cstheme="majorBidi"/>
      <w:b/>
      <w:bCs/>
      <w:sz w:val="32"/>
      <w:szCs w:val="3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80">
    <w:name w:val="尾注文本 字符"/>
    <w:basedOn w:val="40"/>
    <w:link w:val="25"/>
    <w:semiHidden/>
    <w:qFormat/>
    <w:uiPriority w:val="99"/>
    <w:rPr>
      <w:rFonts w:ascii="宋体" w:hAnsi="宋体" w:eastAsia="宋体" w:cs="宋体"/>
      <w:kern w:val="0"/>
      <w:szCs w:val="24"/>
    </w:rPr>
  </w:style>
  <w:style w:type="character" w:customStyle="1" w:styleId="81">
    <w:name w:val="批注主题 Char1"/>
    <w:basedOn w:val="52"/>
    <w:semiHidden/>
    <w:qFormat/>
    <w:uiPriority w:val="99"/>
    <w:rPr>
      <w:rFonts w:ascii="Times New Roman" w:hAnsi="Times New Roman" w:eastAsia="宋体" w:cs="Times New Roman"/>
      <w:b/>
      <w:bCs/>
      <w:szCs w:val="21"/>
    </w:rPr>
  </w:style>
  <w:style w:type="character" w:customStyle="1" w:styleId="82">
    <w:name w:val="span_"/>
    <w:basedOn w:val="40"/>
    <w:qFormat/>
    <w:uiPriority w:val="0"/>
  </w:style>
  <w:style w:type="paragraph" w:customStyle="1" w:styleId="83">
    <w:name w:val="标题  3"/>
    <w:basedOn w:val="1"/>
    <w:next w:val="1"/>
    <w:link w:val="84"/>
    <w:qFormat/>
    <w:uiPriority w:val="0"/>
    <w:pPr>
      <w:keepNext/>
      <w:keepLines/>
      <w:spacing w:before="100" w:beforeAutospacing="1" w:after="100" w:afterAutospacing="1" w:line="415" w:lineRule="auto"/>
    </w:pPr>
    <w:rPr>
      <w:rFonts w:ascii="Times New Roman" w:hAnsi="Times New Roman" w:eastAsia="宋体" w:cs="Times New Roman"/>
      <w:b/>
      <w:szCs w:val="24"/>
    </w:rPr>
  </w:style>
  <w:style w:type="character" w:customStyle="1" w:styleId="84">
    <w:name w:val="标题  3 Char"/>
    <w:basedOn w:val="40"/>
    <w:link w:val="83"/>
    <w:qFormat/>
    <w:uiPriority w:val="0"/>
    <w:rPr>
      <w:rFonts w:ascii="Times New Roman" w:hAnsi="Times New Roman" w:eastAsia="宋体" w:cs="Times New Roman"/>
      <w:b/>
      <w:szCs w:val="24"/>
    </w:rPr>
  </w:style>
  <w:style w:type="paragraph" w:customStyle="1" w:styleId="85">
    <w:name w:val="列出段落1"/>
    <w:basedOn w:val="1"/>
    <w:qFormat/>
    <w:uiPriority w:val="0"/>
    <w:pPr>
      <w:ind w:firstLine="420" w:firstLineChars="200"/>
    </w:pPr>
    <w:rPr>
      <w:rFonts w:ascii="Calibri" w:hAnsi="Calibri" w:eastAsia="宋体" w:cs="Calibri"/>
      <w:szCs w:val="21"/>
    </w:rPr>
  </w:style>
  <w:style w:type="paragraph" w:customStyle="1" w:styleId="86">
    <w:name w:val="报告正文格式1"/>
    <w:basedOn w:val="1"/>
    <w:qFormat/>
    <w:uiPriority w:val="0"/>
    <w:pPr>
      <w:spacing w:line="360" w:lineRule="auto"/>
      <w:ind w:firstLine="200" w:firstLineChars="200"/>
      <w:jc w:val="left"/>
    </w:pPr>
    <w:rPr>
      <w:rFonts w:ascii="Times New Roman" w:hAnsi="Times New Roman" w:eastAsia="仿宋" w:cs="Times New Roman"/>
      <w:bCs/>
      <w:sz w:val="24"/>
      <w:szCs w:val="24"/>
    </w:rPr>
  </w:style>
  <w:style w:type="paragraph" w:customStyle="1" w:styleId="8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8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89">
    <w:name w:val="Table Paragraph"/>
    <w:basedOn w:val="1"/>
    <w:qFormat/>
    <w:uiPriority w:val="1"/>
    <w:pPr>
      <w:autoSpaceDE w:val="0"/>
      <w:autoSpaceDN w:val="0"/>
      <w:jc w:val="left"/>
    </w:pPr>
    <w:rPr>
      <w:rFonts w:ascii="Times New Roman" w:hAnsi="Times New Roman" w:eastAsia="Times New Roman" w:cs="Times New Roman"/>
      <w:kern w:val="0"/>
      <w:sz w:val="22"/>
      <w:lang w:eastAsia="en-US"/>
    </w:rPr>
  </w:style>
  <w:style w:type="paragraph" w:customStyle="1" w:styleId="90">
    <w:name w:val="前言标题"/>
    <w:basedOn w:val="3"/>
    <w:link w:val="92"/>
    <w:qFormat/>
    <w:uiPriority w:val="0"/>
    <w:pPr>
      <w:spacing w:before="0" w:after="0" w:line="566" w:lineRule="auto"/>
      <w:jc w:val="left"/>
      <w:outlineLvl w:val="9"/>
    </w:pPr>
    <w:rPr>
      <w:rFonts w:ascii="Times New Roman" w:hAnsi="Times New Roman" w:eastAsia="黑体" w:cs="Times New Roman"/>
      <w:b w:val="0"/>
      <w:sz w:val="21"/>
    </w:rPr>
  </w:style>
  <w:style w:type="paragraph" w:customStyle="1" w:styleId="91">
    <w:name w:val="前言大标题"/>
    <w:basedOn w:val="2"/>
    <w:link w:val="93"/>
    <w:qFormat/>
    <w:uiPriority w:val="0"/>
    <w:pPr>
      <w:spacing w:before="0" w:after="680" w:line="283" w:lineRule="auto"/>
      <w:ind w:firstLine="200" w:firstLineChars="200"/>
      <w:jc w:val="center"/>
      <w:outlineLvl w:val="9"/>
    </w:pPr>
    <w:rPr>
      <w:rFonts w:ascii="Times New Roman" w:hAnsi="Times New Roman" w:eastAsia="黑体" w:cs="Times New Roman"/>
      <w:b w:val="0"/>
      <w:sz w:val="32"/>
    </w:rPr>
  </w:style>
  <w:style w:type="character" w:customStyle="1" w:styleId="92">
    <w:name w:val="前言标题 Char"/>
    <w:basedOn w:val="40"/>
    <w:link w:val="90"/>
    <w:qFormat/>
    <w:uiPriority w:val="0"/>
    <w:rPr>
      <w:rFonts w:eastAsia="黑体"/>
      <w:bCs/>
      <w:kern w:val="2"/>
      <w:sz w:val="21"/>
      <w:szCs w:val="32"/>
    </w:rPr>
  </w:style>
  <w:style w:type="character" w:customStyle="1" w:styleId="93">
    <w:name w:val="前言大标题 Char"/>
    <w:link w:val="91"/>
    <w:qFormat/>
    <w:uiPriority w:val="0"/>
    <w:rPr>
      <w:rFonts w:eastAsia="黑体"/>
      <w:bCs/>
      <w:kern w:val="44"/>
      <w:sz w:val="32"/>
      <w:szCs w:val="44"/>
    </w:rPr>
  </w:style>
  <w:style w:type="paragraph" w:customStyle="1" w:styleId="94">
    <w:name w:val="Char Char Char Char Char Char Char Char Char Char Char Char Char"/>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0C85B-024C-49A1-89CA-1A1A3B0F4157}">
  <ds:schemaRefs/>
</ds:datastoreItem>
</file>

<file path=customXml/itemProps3.xml><?xml version="1.0" encoding="utf-8"?>
<ds:datastoreItem xmlns:ds="http://schemas.openxmlformats.org/officeDocument/2006/customXml" ds:itemID="{1C0973C3-F602-4F54-9450-3FE38B77D930}">
  <ds:schemaRefs/>
</ds:datastoreItem>
</file>

<file path=customXml/itemProps4.xml><?xml version="1.0" encoding="utf-8"?>
<ds:datastoreItem xmlns:ds="http://schemas.openxmlformats.org/officeDocument/2006/customXml" ds:itemID="{C5D7E463-A10F-494B-AAC3-043C8AA8F3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812</Words>
  <Characters>4634</Characters>
  <Lines>38</Lines>
  <Paragraphs>10</Paragraphs>
  <TotalTime>1</TotalTime>
  <ScaleCrop>false</ScaleCrop>
  <LinksUpToDate>false</LinksUpToDate>
  <CharactersWithSpaces>5436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2019-11-19T12:21:00Z</dcterms:created>
  <dc:creator>Meng Tang</dc:creator>
  <cp:lastModifiedBy>半步天涯</cp:lastModifiedBy>
  <dcterms:modified xsi:type="dcterms:W3CDTF">2020-10-26T12:17:51Z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