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rPr>
        <w:t>浙江佰利眼镜有限公司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20年7月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bookmarkStart w:id="1" w:name="_Hlk24613918"/>
    </w:p>
    <w:p>
      <w:pPr>
        <w:pStyle w:val="91"/>
        <w:ind w:firstLine="640"/>
      </w:pPr>
      <w:r>
        <w:rPr>
          <w:rFonts w:hint="eastAsia"/>
        </w:rPr>
        <w:t>关于本报告</w:t>
      </w:r>
    </w:p>
    <w:p>
      <w:pPr>
        <w:pStyle w:val="90"/>
      </w:pPr>
      <w:bookmarkStart w:id="2" w:name="_Toc493596484"/>
      <w:r>
        <w:rPr>
          <w:rFonts w:hint="eastAsia"/>
        </w:rPr>
        <w:t xml:space="preserve">1 </w:t>
      </w:r>
      <w:bookmarkEnd w:id="2"/>
      <w:r>
        <w:rPr>
          <w:rFonts w:hint="eastAsia"/>
        </w:rPr>
        <w:t>报告范围</w:t>
      </w:r>
    </w:p>
    <w:p>
      <w:pPr>
        <w:ind w:firstLine="420"/>
      </w:pPr>
      <w:r>
        <w:rPr>
          <w:rFonts w:hint="eastAsia"/>
        </w:rPr>
        <w:t>本报告以浙江佰利眼镜有限公司为主体，披露了2019年企业履行政治、经济、社会和生态责任方面的内容。</w:t>
      </w:r>
    </w:p>
    <w:p>
      <w:pPr>
        <w:pStyle w:val="90"/>
      </w:pPr>
      <w:r>
        <w:rPr>
          <w:rFonts w:hint="eastAsia"/>
        </w:rPr>
        <w:t>2 称谓说明</w:t>
      </w:r>
    </w:p>
    <w:p>
      <w:pPr>
        <w:ind w:firstLine="420"/>
      </w:pPr>
      <w:r>
        <w:rPr>
          <w:rFonts w:hint="eastAsia"/>
        </w:rPr>
        <w:t>为表述方便，报告把“浙江佰利眼镜有限公司”简称为“佰利”、“佰利眼镜”。</w:t>
      </w:r>
    </w:p>
    <w:p>
      <w:pPr>
        <w:pStyle w:val="90"/>
      </w:pPr>
      <w:bookmarkStart w:id="3" w:name="_Toc493596487"/>
      <w:r>
        <w:rPr>
          <w:rFonts w:hint="eastAsia"/>
        </w:rPr>
        <w:t>3 报告时间</w:t>
      </w:r>
      <w:bookmarkEnd w:id="3"/>
      <w:r>
        <w:rPr>
          <w:rFonts w:hint="eastAsia"/>
        </w:rPr>
        <w:t>和频次</w:t>
      </w:r>
    </w:p>
    <w:p>
      <w:pPr>
        <w:ind w:firstLine="420"/>
        <w:rPr>
          <w:rFonts w:ascii="宋体" w:hAnsi="宋体" w:eastAsia="宋体"/>
        </w:rPr>
      </w:pPr>
      <w:r>
        <w:rPr>
          <w:rFonts w:hint="eastAsia" w:ascii="宋体" w:hAnsi="宋体" w:eastAsia="宋体"/>
        </w:rPr>
        <w:t>2019年</w:t>
      </w:r>
      <w:r>
        <w:rPr>
          <w:rFonts w:ascii="宋体" w:hAnsi="宋体" w:eastAsia="宋体"/>
        </w:rPr>
        <w:t>0</w:t>
      </w:r>
      <w:r>
        <w:rPr>
          <w:rFonts w:hint="eastAsia" w:ascii="宋体" w:hAnsi="宋体" w:eastAsia="宋体"/>
        </w:rPr>
        <w:t>6月</w:t>
      </w:r>
      <w:r>
        <w:rPr>
          <w:rFonts w:ascii="宋体" w:hAnsi="宋体" w:eastAsia="宋体"/>
        </w:rPr>
        <w:t>30</w:t>
      </w:r>
      <w:r>
        <w:rPr>
          <w:rFonts w:hint="eastAsia" w:ascii="宋体" w:hAnsi="宋体" w:eastAsia="宋体"/>
        </w:rPr>
        <w:t>日至2020年</w:t>
      </w:r>
      <w:r>
        <w:rPr>
          <w:rFonts w:ascii="宋体" w:hAnsi="宋体" w:eastAsia="宋体"/>
        </w:rPr>
        <w:t>0</w:t>
      </w:r>
      <w:r>
        <w:rPr>
          <w:rFonts w:hint="eastAsia" w:ascii="宋体" w:hAnsi="宋体" w:eastAsia="宋体"/>
        </w:rPr>
        <w:t>7月01日，部分数据及内容超出上述范围。</w:t>
      </w:r>
    </w:p>
    <w:p>
      <w:pPr>
        <w:ind w:firstLine="420"/>
        <w:rPr>
          <w:rFonts w:ascii="宋体" w:hAnsi="宋体" w:eastAsia="宋体"/>
        </w:rPr>
      </w:pPr>
      <w:r>
        <w:rPr>
          <w:rFonts w:hint="eastAsia" w:ascii="宋体" w:hAnsi="宋体" w:eastAsia="宋体"/>
        </w:rPr>
        <w:t>本报告为年度报告。</w:t>
      </w:r>
    </w:p>
    <w:p>
      <w:pPr>
        <w:pStyle w:val="90"/>
      </w:pPr>
      <w:bookmarkStart w:id="4" w:name="_Toc493596490"/>
      <w:r>
        <w:rPr>
          <w:rFonts w:hint="eastAsia"/>
        </w:rPr>
        <w:t>4 报告</w:t>
      </w:r>
      <w:bookmarkEnd w:id="4"/>
      <w:r>
        <w:rPr>
          <w:rFonts w:hint="eastAsia"/>
        </w:rPr>
        <w:t>发布形式</w:t>
      </w:r>
    </w:p>
    <w:p>
      <w:pPr>
        <w:ind w:firstLine="420"/>
        <w:rPr>
          <w:rFonts w:ascii="宋体" w:hAnsi="宋体" w:eastAsia="宋体"/>
        </w:rPr>
      </w:pPr>
      <w:r>
        <w:rPr>
          <w:rFonts w:hint="eastAsia" w:ascii="宋体" w:hAnsi="宋体" w:eastAsia="宋体"/>
        </w:rPr>
        <w:t>本报告以电子文档形式发布，其中电子文档可在浙江佰利眼镜有限公司网站（</w:t>
      </w:r>
      <w:r>
        <w:rPr>
          <w:rFonts w:ascii="宋体" w:hAnsi="宋体" w:eastAsia="宋体"/>
        </w:rPr>
        <w:t>www.bailiglasses.com</w:t>
      </w:r>
      <w:r>
        <w:rPr>
          <w:rFonts w:hint="eastAsia" w:ascii="宋体" w:hAnsi="宋体" w:eastAsia="宋体"/>
        </w:rPr>
        <w:t>）下载阅读。</w:t>
      </w:r>
    </w:p>
    <w:p>
      <w:pPr>
        <w:ind w:firstLine="420"/>
      </w:pPr>
    </w:p>
    <w:bookmarkEnd w:id="1"/>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pStyle w:val="51"/>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14:textFill>
            <w14:solidFill>
              <w14:schemeClr w14:val="tx1"/>
            </w14:solidFill>
          </w14:textFill>
        </w:rPr>
      </w:pPr>
      <w:bookmarkStart w:id="5" w:name="_Toc451610984"/>
      <w:bookmarkStart w:id="6" w:name="_Toc451610891"/>
      <w:r>
        <w:rPr>
          <w:rFonts w:hint="eastAsia" w:asciiTheme="majorEastAsia" w:hAnsiTheme="majorEastAsia" w:eastAsiaTheme="majorEastAsia"/>
          <w:b/>
          <w:color w:val="000000" w:themeColor="text1"/>
          <w:sz w:val="28"/>
          <w:szCs w:val="24"/>
          <w14:textFill>
            <w14:solidFill>
              <w14:schemeClr w14:val="tx1"/>
            </w14:solidFill>
          </w14:textFill>
        </w:rPr>
        <w:t>浙江佰利眼镜有限公司</w:t>
      </w:r>
      <w:r>
        <w:rPr>
          <w:rFonts w:asciiTheme="majorEastAsia" w:hAnsiTheme="majorEastAsia" w:eastAsiaTheme="majorEastAsia"/>
          <w:b/>
          <w:color w:val="000000" w:themeColor="text1"/>
          <w:sz w:val="28"/>
          <w:szCs w:val="24"/>
          <w14:textFill>
            <w14:solidFill>
              <w14:schemeClr w14:val="tx1"/>
            </w14:solidFill>
          </w14:textFill>
        </w:rPr>
        <w:t>简介</w:t>
      </w:r>
      <w:r>
        <w:rPr>
          <w:rFonts w:hint="eastAsia" w:asciiTheme="majorEastAsia" w:hAnsiTheme="majorEastAsia" w:eastAsiaTheme="majorEastAsia"/>
          <w:b/>
          <w:color w:val="000000" w:themeColor="text1"/>
          <w:sz w:val="28"/>
          <w:szCs w:val="24"/>
          <w14:textFill>
            <w14:solidFill>
              <w14:schemeClr w14:val="tx1"/>
            </w14:solidFill>
          </w14:textFill>
        </w:rPr>
        <w:t>和企业文化</w:t>
      </w:r>
    </w:p>
    <w:p>
      <w:pPr>
        <w:pStyle w:val="51"/>
        <w:spacing w:before="156" w:beforeLines="50" w:after="156" w:afterLines="50" w:line="360" w:lineRule="auto"/>
        <w:ind w:firstLine="0" w:firstLineChars="0"/>
        <w:outlineLvl w:val="0"/>
        <w:rPr>
          <w:rFonts w:asciiTheme="majorEastAsia" w:hAnsiTheme="majorEastAsia" w:eastAsiaTheme="majorEastAsia"/>
          <w:b/>
          <w:color w:val="000000" w:themeColor="text1"/>
          <w:sz w:val="28"/>
          <w:szCs w:val="24"/>
          <w14:textFill>
            <w14:solidFill>
              <w14:schemeClr w14:val="tx1"/>
            </w14:solidFill>
          </w14:textFill>
        </w:rPr>
      </w:pPr>
      <w:r>
        <w:rPr>
          <w:rFonts w:hint="eastAsia" w:asciiTheme="majorEastAsia" w:hAnsiTheme="majorEastAsia" w:eastAsiaTheme="majorEastAsia"/>
          <w:b/>
          <w:color w:val="000000" w:themeColor="text1"/>
          <w:sz w:val="28"/>
          <w:szCs w:val="24"/>
          <w14:textFill>
            <w14:solidFill>
              <w14:schemeClr w14:val="tx1"/>
            </w14:solidFill>
          </w14:textFill>
        </w:rPr>
        <w:t>1.公司简介</w:t>
      </w:r>
    </w:p>
    <w:p>
      <w:pPr>
        <w:pStyle w:val="19"/>
        <w:spacing w:line="240" w:lineRule="auto"/>
        <w:ind w:firstLineChars="0"/>
        <w:jc w:val="center"/>
        <w:rPr>
          <w:rFonts w:ascii="宋体" w:hAnsi="宋体" w:eastAsia="宋体"/>
          <w:b/>
          <w:bCs/>
          <w:szCs w:val="24"/>
        </w:rPr>
      </w:pPr>
      <w:r>
        <w:rPr>
          <w:rFonts w:hint="eastAsia" w:ascii="宋体" w:hAnsi="宋体"/>
          <w:b/>
          <w:bCs/>
          <w:sz w:val="40"/>
          <w:szCs w:val="40"/>
        </w:rPr>
        <w:t>公司简介</w:t>
      </w:r>
    </w:p>
    <w:p>
      <w:pPr>
        <w:pStyle w:val="19"/>
        <w:spacing w:line="240" w:lineRule="auto"/>
        <w:ind w:firstLineChars="0"/>
        <w:jc w:val="left"/>
        <w:rPr>
          <w:rFonts w:ascii="宋体" w:hAnsi="宋体"/>
          <w:b/>
          <w:bCs/>
          <w:szCs w:val="24"/>
        </w:rPr>
      </w:pPr>
    </w:p>
    <w:p>
      <w:pPr>
        <w:pStyle w:val="19"/>
        <w:spacing w:line="360" w:lineRule="auto"/>
        <w:jc w:val="left"/>
        <w:rPr>
          <w:rFonts w:ascii="宋体" w:hAnsi="宋体"/>
          <w:szCs w:val="24"/>
        </w:rPr>
      </w:pPr>
      <w:r>
        <w:rPr>
          <w:rFonts w:hint="eastAsia" w:ascii="宋体" w:hAnsi="宋体"/>
          <w:szCs w:val="24"/>
        </w:rPr>
        <w:t>浙江佰利眼镜有限公司前身椒江佰利眼镜厂，创立于2007年，坐落于浙江台州椒江章安建设工业区，作为一家成熟而富有活力的眼镜企业.</w:t>
      </w:r>
    </w:p>
    <w:p>
      <w:pPr>
        <w:pStyle w:val="19"/>
        <w:spacing w:line="360" w:lineRule="auto"/>
        <w:jc w:val="left"/>
        <w:rPr>
          <w:rFonts w:ascii="宋体" w:hAnsi="宋体"/>
          <w:szCs w:val="24"/>
        </w:rPr>
      </w:pPr>
      <w:r>
        <w:rPr>
          <w:rFonts w:hint="eastAsia" w:ascii="宋体" w:hAnsi="宋体"/>
          <w:szCs w:val="24"/>
        </w:rPr>
        <w:t>公司主营儿童眼镜及太阳镜，多个系列，1000多个品种，选材考究、做工精细、款式新颖，畅销国内外，公司拥有先进的生产机器设备，凭借独特的产品设计理念、高品质产品和及时的出货率，赢得国内外客户一致好评。</w:t>
      </w:r>
    </w:p>
    <w:p>
      <w:pPr>
        <w:pStyle w:val="19"/>
        <w:spacing w:line="360" w:lineRule="auto"/>
        <w:jc w:val="left"/>
        <w:rPr>
          <w:rFonts w:ascii="宋体" w:hAnsi="宋体"/>
          <w:szCs w:val="24"/>
        </w:rPr>
      </w:pPr>
      <w:r>
        <w:rPr>
          <w:rFonts w:hint="eastAsia" w:ascii="宋体" w:hAnsi="宋体"/>
          <w:szCs w:val="24"/>
        </w:rPr>
        <w:t xml:space="preserve">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pStyle w:val="19"/>
        <w:spacing w:line="360" w:lineRule="auto"/>
        <w:jc w:val="left"/>
        <w:rPr>
          <w:rFonts w:ascii="宋体" w:hAnsi="宋体"/>
          <w:szCs w:val="24"/>
        </w:rPr>
      </w:pPr>
      <w:r>
        <w:rPr>
          <w:rFonts w:hint="eastAsia" w:ascii="宋体" w:hAnsi="宋体"/>
          <w:szCs w:val="24"/>
        </w:rPr>
        <w:t xml:space="preserve">产品自上市销售便深受消费者的赞誉和好评，佰利全体员工对企业未来亦充满信心，相信佰利一定能赢得更广阔的市场和更美好的未来。 </w:t>
      </w:r>
    </w:p>
    <w:p>
      <w:pPr>
        <w:pStyle w:val="19"/>
        <w:spacing w:line="360" w:lineRule="auto"/>
        <w:ind w:firstLineChars="0"/>
        <w:jc w:val="left"/>
        <w:rPr>
          <w:rFonts w:ascii="宋体" w:hAnsi="宋体"/>
          <w:szCs w:val="24"/>
        </w:rPr>
      </w:pPr>
      <w:r>
        <w:rPr>
          <w:rFonts w:hint="eastAsia" w:ascii="宋体" w:hAnsi="宋体"/>
          <w:szCs w:val="24"/>
        </w:rPr>
        <w:t>全球经济一体化的趋势下，佰利佰利眼镜将继续深钻专业领域，提升自身技术高度，完善产品结构，忧化全球服务网络平台朝着拥有国际先进技术和文化的企业方向迈进！</w:t>
      </w:r>
    </w:p>
    <w:p>
      <w:pPr>
        <w:spacing w:line="400" w:lineRule="exact"/>
        <w:jc w:val="left"/>
        <w:rPr>
          <w:rFonts w:ascii="宋体" w:hAnsi="宋体"/>
          <w:b/>
          <w:bCs/>
          <w:sz w:val="28"/>
          <w:szCs w:val="24"/>
        </w:rPr>
      </w:pPr>
      <w:r>
        <w:rPr>
          <w:rFonts w:hint="eastAsia" w:ascii="宋体" w:hAnsi="宋体"/>
          <w:b/>
          <w:bCs/>
          <w:sz w:val="28"/>
          <w:szCs w:val="24"/>
        </w:rPr>
        <w:t>2.企业文化</w:t>
      </w:r>
    </w:p>
    <w:p>
      <w:pPr>
        <w:spacing w:line="600" w:lineRule="exact"/>
        <w:ind w:firstLine="420"/>
        <w:jc w:val="left"/>
        <w:rPr>
          <w:sz w:val="24"/>
          <w:szCs w:val="18"/>
        </w:rPr>
      </w:pPr>
      <w:bookmarkStart w:id="7" w:name="_Hlk24922071"/>
      <w:bookmarkStart w:id="8" w:name="_Hlk24613985"/>
      <w:r>
        <w:rPr>
          <w:rFonts w:hint="eastAsia"/>
          <w:sz w:val="24"/>
          <w:szCs w:val="18"/>
        </w:rPr>
        <w:t>公司的使命： 致力于提供安全、舒适、健康的儿童视力保护方案。</w:t>
      </w:r>
    </w:p>
    <w:p>
      <w:pPr>
        <w:spacing w:line="600" w:lineRule="exact"/>
        <w:ind w:firstLine="420"/>
        <w:jc w:val="left"/>
        <w:rPr>
          <w:sz w:val="24"/>
          <w:szCs w:val="18"/>
        </w:rPr>
      </w:pPr>
      <w:r>
        <w:rPr>
          <w:rFonts w:hint="eastAsia"/>
          <w:sz w:val="24"/>
          <w:szCs w:val="18"/>
        </w:rPr>
        <w:t>公司的愿景： 成为儿童眼镜行业领军企业。</w:t>
      </w:r>
    </w:p>
    <w:p>
      <w:pPr>
        <w:spacing w:line="600" w:lineRule="exact"/>
        <w:ind w:firstLine="420"/>
        <w:jc w:val="left"/>
        <w:rPr>
          <w:sz w:val="24"/>
          <w:szCs w:val="18"/>
          <w:highlight w:val="yellow"/>
        </w:rPr>
      </w:pPr>
      <w:r>
        <w:rPr>
          <w:rFonts w:hint="eastAsia"/>
          <w:sz w:val="24"/>
          <w:szCs w:val="18"/>
        </w:rPr>
        <w:t>核心价值观：客户至上 结果导向 团队合作 持续创新。</w:t>
      </w:r>
    </w:p>
    <w:bookmarkEnd w:id="7"/>
    <w:bookmarkEnd w:id="8"/>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二、</w:t>
      </w:r>
      <w:r>
        <w:rPr>
          <w:rFonts w:cs="Times New Roman" w:asciiTheme="majorEastAsia" w:hAnsiTheme="majorEastAsia" w:eastAsiaTheme="majorEastAsia"/>
          <w:b/>
          <w:color w:val="000000" w:themeColor="text1"/>
          <w:sz w:val="28"/>
          <w:szCs w:val="24"/>
          <w14:textFill>
            <w14:solidFill>
              <w14:schemeClr w14:val="tx1"/>
            </w14:solidFill>
          </w14:textFill>
        </w:rPr>
        <w:t>组织架构</w:t>
      </w:r>
      <w:r>
        <w:rPr>
          <w:rFonts w:hint="eastAsia" w:cs="Times New Roman" w:asciiTheme="majorEastAsia" w:hAnsiTheme="majorEastAsia" w:eastAsiaTheme="majorEastAsia"/>
          <w:b/>
          <w:color w:val="000000" w:themeColor="text1"/>
          <w:sz w:val="28"/>
          <w:szCs w:val="24"/>
          <w14:textFill>
            <w14:solidFill>
              <w14:schemeClr w14:val="tx1"/>
            </w14:solidFill>
          </w14:textFill>
        </w:rPr>
        <w:t>及</w:t>
      </w:r>
      <w:r>
        <w:rPr>
          <w:rFonts w:cs="Times New Roman" w:asciiTheme="majorEastAsia" w:hAnsiTheme="majorEastAsia" w:eastAsiaTheme="majorEastAsia"/>
          <w:b/>
          <w:color w:val="000000" w:themeColor="text1"/>
          <w:sz w:val="28"/>
          <w:szCs w:val="24"/>
          <w14:textFill>
            <w14:solidFill>
              <w14:schemeClr w14:val="tx1"/>
            </w14:solidFill>
          </w14:textFill>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cs="Times New Roman" w:asciiTheme="majorEastAsia" w:hAnsiTheme="majorEastAsia" w:eastAsiaTheme="majorEastAsia"/>
          <w:b/>
          <w:color w:val="000000" w:themeColor="text1"/>
          <w:sz w:val="24"/>
          <w:szCs w:val="24"/>
          <w14:textFill>
            <w14:solidFill>
              <w14:schemeClr w14:val="tx1"/>
            </w14:solidFill>
          </w14:textFill>
        </w:rPr>
        <w:t>1</w:t>
      </w:r>
      <w:r>
        <w:rPr>
          <w:rFonts w:hint="eastAsia" w:cs="Times New Roman" w:asciiTheme="majorEastAsia" w:hAnsiTheme="majorEastAsia" w:eastAsiaTheme="majorEastAsia"/>
          <w:b/>
          <w:color w:val="000000" w:themeColor="text1"/>
          <w:sz w:val="24"/>
          <w:szCs w:val="24"/>
          <w14:textFill>
            <w14:solidFill>
              <w14:schemeClr w14:val="tx1"/>
            </w14:solidFill>
          </w14:textFill>
        </w:rPr>
        <w:t>、组织</w:t>
      </w:r>
      <w:r>
        <w:rPr>
          <w:rFonts w:cs="Times New Roman" w:asciiTheme="majorEastAsia" w:hAnsiTheme="majorEastAsia" w:eastAsiaTheme="majorEastAsia"/>
          <w:b/>
          <w:color w:val="000000" w:themeColor="text1"/>
          <w:sz w:val="24"/>
          <w:szCs w:val="24"/>
          <w14:textFill>
            <w14:solidFill>
              <w14:schemeClr w14:val="tx1"/>
            </w14:solidFill>
          </w14:textFill>
        </w:rPr>
        <w:t>架构图</w:t>
      </w:r>
    </w:p>
    <w:p>
      <w:pPr>
        <w:pStyle w:val="47"/>
        <w:ind w:firstLine="0" w:firstLineChars="0"/>
        <w:jc w:val="center"/>
        <w:rPr>
          <w:rFonts w:asciiTheme="majorEastAsia" w:hAnsiTheme="majorEastAsia" w:eastAsiaTheme="majorEastAsia"/>
          <w:b/>
          <w:color w:val="000000" w:themeColor="text1"/>
          <w:szCs w:val="24"/>
          <w:lang w:val="en-US"/>
          <w14:textFill>
            <w14:solidFill>
              <w14:schemeClr w14:val="tx1"/>
            </w14:solidFill>
          </w14:textFill>
        </w:rPr>
      </w:pPr>
      <w:r>
        <w:rPr>
          <w:rFonts w:asciiTheme="majorEastAsia" w:hAnsiTheme="majorEastAsia" w:eastAsiaTheme="majorEastAsia"/>
          <w:b/>
          <w:color w:val="000000" w:themeColor="text1"/>
          <w:szCs w:val="24"/>
          <w:lang w:val="en-US"/>
          <w14:textFill>
            <w14:solidFill>
              <w14:schemeClr w14:val="tx1"/>
            </w14:solidFill>
          </w14:textFill>
        </w:rPr>
        <w:drawing>
          <wp:inline distT="0" distB="0" distL="0" distR="0">
            <wp:extent cx="4053840" cy="312991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061160" cy="3136080"/>
                    </a:xfrm>
                    <a:prstGeom prst="rect">
                      <a:avLst/>
                    </a:prstGeom>
                    <a:noFill/>
                    <a:ln>
                      <a:noFill/>
                    </a:ln>
                  </pic:spPr>
                </pic:pic>
              </a:graphicData>
            </a:graphic>
          </wp:inline>
        </w:drawing>
      </w:r>
    </w:p>
    <w:p>
      <w:pPr>
        <w:pStyle w:val="47"/>
        <w:ind w:firstLine="0" w:firstLineChars="0"/>
        <w:rPr>
          <w:rFonts w:asciiTheme="majorEastAsia" w:hAnsiTheme="majorEastAsia" w:eastAsiaTheme="majorEastAsia"/>
          <w:b/>
          <w:color w:val="000000" w:themeColor="text1"/>
          <w:szCs w:val="24"/>
          <w14:textFill>
            <w14:solidFill>
              <w14:schemeClr w14:val="tx1"/>
            </w14:solidFill>
          </w14:textFill>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hint="eastAsia" w:cs="Times New Roman" w:asciiTheme="majorEastAsia" w:hAnsiTheme="majorEastAsia" w:eastAsiaTheme="majorEastAsia"/>
          <w:b/>
          <w:color w:val="000000" w:themeColor="text1"/>
          <w:sz w:val="24"/>
          <w:szCs w:val="24"/>
          <w14:textFill>
            <w14:solidFill>
              <w14:schemeClr w14:val="tx1"/>
            </w14:solidFill>
          </w14:textFill>
        </w:rPr>
        <w:t>2、</w:t>
      </w:r>
      <w:r>
        <w:rPr>
          <w:rFonts w:cs="Times New Roman" w:asciiTheme="majorEastAsia" w:hAnsiTheme="majorEastAsia" w:eastAsiaTheme="majorEastAsia"/>
          <w:b/>
          <w:color w:val="000000" w:themeColor="text1"/>
          <w:sz w:val="24"/>
          <w:szCs w:val="24"/>
          <w14:textFill>
            <w14:solidFill>
              <w14:schemeClr w14:val="tx1"/>
            </w14:solidFill>
          </w14:textFill>
        </w:rPr>
        <w:t>主要产品</w:t>
      </w:r>
    </w:p>
    <w:p>
      <w:pPr>
        <w:spacing w:line="600" w:lineRule="exact"/>
        <w:ind w:firstLine="480" w:firstLineChars="200"/>
        <w:jc w:val="left"/>
        <w:rPr>
          <w:sz w:val="24"/>
          <w:szCs w:val="18"/>
        </w:rPr>
      </w:pPr>
      <w:bookmarkStart w:id="9" w:name="_Hlk24620175"/>
      <w:r>
        <w:rPr>
          <w:rFonts w:hint="eastAsia"/>
          <w:sz w:val="24"/>
          <w:szCs w:val="18"/>
        </w:rPr>
        <w:t>公司主营儿童眼镜及太阳镜，多个系列，1000多个品种，选材考究、做工精细、款式新颖，畅销国内外，公司拥有先进的生产机器设备，凭借独特的产品设计理念、高品质产品和及时的出货率，赢得国内外客户一致好评。</w:t>
      </w:r>
    </w:p>
    <w:p>
      <w:pPr>
        <w:spacing w:line="600" w:lineRule="exact"/>
        <w:ind w:firstLine="480" w:firstLineChars="200"/>
        <w:jc w:val="left"/>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highlight w:val="yellow"/>
        </w:rPr>
        <w:t>主要产品图片如下：</w:t>
      </w:r>
      <w:bookmarkEnd w:id="9"/>
    </w:p>
    <w:p>
      <w:pPr>
        <w:spacing w:before="156" w:beforeLines="50" w:after="156" w:afterLines="50"/>
        <w:outlineLvl w:val="0"/>
        <w:rPr>
          <w:rFonts w:hint="eastAsia" w:cs="Times New Roman" w:asciiTheme="majorEastAsia" w:hAnsiTheme="majorEastAsia" w:eastAsiaTheme="majorEastAsia"/>
          <w:b/>
          <w:sz w:val="28"/>
          <w:szCs w:val="24"/>
          <w:lang w:eastAsia="zh-CN"/>
        </w:rPr>
      </w:pPr>
      <w:r>
        <w:rPr>
          <w:rFonts w:hint="eastAsia" w:cs="Times New Roman" w:asciiTheme="majorEastAsia" w:hAnsiTheme="majorEastAsia" w:eastAsiaTheme="majorEastAsia"/>
          <w:b/>
          <w:sz w:val="28"/>
          <w:szCs w:val="24"/>
          <w:lang w:eastAsia="zh-CN"/>
        </w:rPr>
        <w:drawing>
          <wp:inline distT="0" distB="0" distL="114300" distR="114300">
            <wp:extent cx="3616325" cy="2410460"/>
            <wp:effectExtent l="0" t="0" r="3175" b="8890"/>
            <wp:docPr id="4" name="图片 4" descr="714a307f8398bfc9665648902e5a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14a307f8398bfc9665648902e5a9c0"/>
                    <pic:cNvPicPr>
                      <a:picLocks noChangeAspect="1"/>
                    </pic:cNvPicPr>
                  </pic:nvPicPr>
                  <pic:blipFill>
                    <a:blip r:embed="rId6"/>
                    <a:stretch>
                      <a:fillRect/>
                    </a:stretch>
                  </pic:blipFill>
                  <pic:spPr>
                    <a:xfrm>
                      <a:off x="0" y="0"/>
                      <a:ext cx="3616325" cy="2410460"/>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662045" cy="2334895"/>
            <wp:effectExtent l="0" t="0" r="14605" b="8255"/>
            <wp:docPr id="6" name="图片 6" descr="aeca231aa62ac2f2d84cc537d5cd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eca231aa62ac2f2d84cc537d5cddba"/>
                    <pic:cNvPicPr>
                      <a:picLocks noChangeAspect="1"/>
                    </pic:cNvPicPr>
                  </pic:nvPicPr>
                  <pic:blipFill>
                    <a:blip r:embed="rId7"/>
                    <a:stretch>
                      <a:fillRect/>
                    </a:stretch>
                  </pic:blipFill>
                  <pic:spPr>
                    <a:xfrm>
                      <a:off x="0" y="0"/>
                      <a:ext cx="3662045" cy="2334895"/>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705860" cy="2498725"/>
            <wp:effectExtent l="0" t="0" r="8890" b="15875"/>
            <wp:docPr id="3" name="图片 3" descr="a8fdfdce915435ee24d7e4d2e839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8fdfdce915435ee24d7e4d2e839d60"/>
                    <pic:cNvPicPr>
                      <a:picLocks noChangeAspect="1"/>
                    </pic:cNvPicPr>
                  </pic:nvPicPr>
                  <pic:blipFill>
                    <a:blip r:embed="rId8"/>
                    <a:stretch>
                      <a:fillRect/>
                    </a:stretch>
                  </pic:blipFill>
                  <pic:spPr>
                    <a:xfrm>
                      <a:off x="0" y="0"/>
                      <a:ext cx="3705860" cy="2498725"/>
                    </a:xfrm>
                    <a:prstGeom prst="rect">
                      <a:avLst/>
                    </a:prstGeom>
                  </pic:spPr>
                </pic:pic>
              </a:graphicData>
            </a:graphic>
          </wp:inline>
        </w:drawing>
      </w:r>
    </w:p>
    <w:p>
      <w:pPr>
        <w:spacing w:before="156" w:beforeLines="50" w:after="156" w:afterLines="50"/>
        <w:outlineLvl w:val="0"/>
        <w:rPr>
          <w:rFonts w:hint="eastAsia" w:cs="Times New Roman" w:asciiTheme="majorEastAsia" w:hAnsiTheme="majorEastAsia" w:eastAsiaTheme="majorEastAsia"/>
          <w:b/>
          <w:sz w:val="28"/>
          <w:szCs w:val="24"/>
          <w:lang w:eastAsia="zh-CN"/>
        </w:rPr>
      </w:pPr>
      <w:r>
        <w:rPr>
          <w:rFonts w:hint="eastAsia" w:cs="Times New Roman" w:asciiTheme="majorEastAsia" w:hAnsiTheme="majorEastAsia" w:eastAsiaTheme="majorEastAsia"/>
          <w:b/>
          <w:sz w:val="28"/>
          <w:szCs w:val="24"/>
          <w:lang w:eastAsia="zh-CN"/>
        </w:rPr>
        <w:drawing>
          <wp:inline distT="0" distB="0" distL="114300" distR="114300">
            <wp:extent cx="3387725" cy="2009775"/>
            <wp:effectExtent l="0" t="0" r="3175" b="9525"/>
            <wp:docPr id="7" name="图片 7" descr="4d50a521357c7c9d93f37dcf2c28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d50a521357c7c9d93f37dcf2c28b6d"/>
                    <pic:cNvPicPr>
                      <a:picLocks noChangeAspect="1"/>
                    </pic:cNvPicPr>
                  </pic:nvPicPr>
                  <pic:blipFill>
                    <a:blip r:embed="rId9"/>
                    <a:stretch>
                      <a:fillRect/>
                    </a:stretch>
                  </pic:blipFill>
                  <pic:spPr>
                    <a:xfrm>
                      <a:off x="0" y="0"/>
                      <a:ext cx="3387725" cy="2009775"/>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641090" cy="2085340"/>
            <wp:effectExtent l="0" t="0" r="16510" b="10160"/>
            <wp:docPr id="5" name="图片 5" descr="b2830df34f39128ac9e14388367e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2830df34f39128ac9e14388367e7fe"/>
                    <pic:cNvPicPr>
                      <a:picLocks noChangeAspect="1"/>
                    </pic:cNvPicPr>
                  </pic:nvPicPr>
                  <pic:blipFill>
                    <a:blip r:embed="rId10"/>
                    <a:stretch>
                      <a:fillRect/>
                    </a:stretch>
                  </pic:blipFill>
                  <pic:spPr>
                    <a:xfrm>
                      <a:off x="0" y="0"/>
                      <a:ext cx="3641090" cy="2085340"/>
                    </a:xfrm>
                    <a:prstGeom prst="rect">
                      <a:avLst/>
                    </a:prstGeom>
                  </pic:spPr>
                </pic:pic>
              </a:graphicData>
            </a:graphic>
          </wp:inline>
        </w:drawing>
      </w:r>
    </w:p>
    <w:p>
      <w:pPr>
        <w:spacing w:before="156" w:beforeLines="50" w:after="156"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5"/>
      <w:bookmarkEnd w:id="6"/>
    </w:p>
    <w:p>
      <w:pPr>
        <w:spacing w:before="156" w:beforeLines="50" w:after="156" w:afterLines="50"/>
        <w:outlineLvl w:val="1"/>
        <w:rPr>
          <w:rFonts w:cs="Times New Roman" w:asciiTheme="majorEastAsia" w:hAnsiTheme="majorEastAsia" w:eastAsiaTheme="majorEastAsia"/>
          <w:b/>
          <w:sz w:val="24"/>
          <w:szCs w:val="24"/>
        </w:rPr>
      </w:pPr>
      <w:bookmarkStart w:id="10" w:name="_Toc451610985"/>
      <w:bookmarkStart w:id="11" w:name="_Toc451610892"/>
      <w:r>
        <w:rPr>
          <w:rFonts w:hint="eastAsia" w:cs="Times New Roman" w:asciiTheme="majorEastAsia" w:hAnsiTheme="majorEastAsia" w:eastAsiaTheme="majorEastAsia"/>
          <w:b/>
          <w:sz w:val="24"/>
          <w:szCs w:val="24"/>
        </w:rPr>
        <w:t>（一）战略方向</w:t>
      </w:r>
      <w:bookmarkEnd w:id="10"/>
      <w:bookmarkEnd w:id="11"/>
    </w:p>
    <w:p>
      <w:pPr>
        <w:pStyle w:val="51"/>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1"/>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眼镜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12" w:name="_Toc451610986"/>
      <w:bookmarkStart w:id="13" w:name="_Toc451610893"/>
      <w:r>
        <w:rPr>
          <w:rFonts w:hint="eastAsia" w:cs="Times New Roman" w:asciiTheme="majorEastAsia" w:hAnsiTheme="majorEastAsia" w:eastAsiaTheme="majorEastAsia"/>
          <w:b/>
          <w:sz w:val="24"/>
          <w:szCs w:val="24"/>
        </w:rPr>
        <w:t>（二）市场业绩</w:t>
      </w:r>
      <w:bookmarkEnd w:id="12"/>
      <w:bookmarkEnd w:id="13"/>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浙江佰利眼镜有限公司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产品自上市销售便深受消费者的赞誉和好评，佰利全体员工对企业未来亦充满信心，相信佰利一定能赢得更广阔的市场和更美好的未来。</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公司加强市场网络建设，以“创新破难，扩大规模增实力”的理念为指导思想，立足于公司的技术优势，继续维护好原有经销商的服务工作，利用品牌优势，坚持长期业务持续发展的指导方针、扩张市场份额。</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14" w:name="_Toc230143126"/>
      <w:bookmarkStart w:id="15" w:name="_Toc211149629"/>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14"/>
      <w:bookmarkEnd w:id="15"/>
    </w:p>
    <w:p>
      <w:pPr>
        <w:spacing w:line="360" w:lineRule="auto"/>
        <w:ind w:firstLine="480" w:firstLineChars="200"/>
        <w:rPr>
          <w:rFonts w:ascii="宋体" w:hAnsi="宋体"/>
          <w:sz w:val="24"/>
        </w:rPr>
      </w:pPr>
      <w:bookmarkStart w:id="16" w:name="_Toc230143127"/>
      <w:bookmarkStart w:id="17" w:name="_Toc211149630"/>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16"/>
    <w:bookmarkEnd w:id="17"/>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佰利注重经营信息的透明和共享，人事任免、质量问题、先进方法、员工奖励等也都会定期在宣传栏中发布，广泛听取员工意见建议。</w:t>
      </w:r>
    </w:p>
    <w:p>
      <w:pPr>
        <w:spacing w:before="156" w:beforeLines="50" w:after="156" w:afterLines="50" w:line="276" w:lineRule="auto"/>
        <w:ind w:firstLine="426" w:firstLineChars="177"/>
        <w:rPr>
          <w:rFonts w:ascii="宋体" w:hAnsi="宋体"/>
          <w:b/>
          <w:sz w:val="24"/>
          <w:szCs w:val="24"/>
        </w:rPr>
      </w:pPr>
      <w:bookmarkStart w:id="18" w:name="_Toc211149631"/>
      <w:bookmarkStart w:id="19" w:name="_Toc230143129"/>
      <w:r>
        <w:rPr>
          <w:rFonts w:hint="eastAsia" w:ascii="宋体" w:hAnsi="宋体"/>
          <w:b/>
          <w:sz w:val="24"/>
          <w:szCs w:val="24"/>
        </w:rPr>
        <w:t>4、</w:t>
      </w:r>
      <w:r>
        <w:rPr>
          <w:rFonts w:ascii="宋体" w:hAnsi="宋体"/>
          <w:b/>
          <w:sz w:val="24"/>
          <w:szCs w:val="24"/>
        </w:rPr>
        <w:t>利益的保护</w:t>
      </w:r>
      <w:bookmarkEnd w:id="18"/>
      <w:bookmarkEnd w:id="19"/>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9"/>
        <w:spacing w:before="120"/>
        <w:jc w:val="center"/>
        <w:rPr>
          <w:rFonts w:ascii="宋体" w:hAnsi="宋体"/>
        </w:rPr>
      </w:pPr>
      <w:bookmarkStart w:id="20" w:name="_Ref326703132"/>
      <w:r>
        <w:rPr>
          <w:rFonts w:hint="eastAsia" w:ascii="宋体" w:hAnsi="宋体"/>
        </w:rPr>
        <w:t>表5-</w:t>
      </w:r>
      <w:bookmarkEnd w:id="20"/>
      <w:r>
        <w:rPr>
          <w:rFonts w:hint="eastAsia" w:ascii="宋体" w:hAnsi="宋体"/>
        </w:rPr>
        <w:t xml:space="preserve">1 </w:t>
      </w:r>
      <w:r>
        <w:rPr>
          <w:rFonts w:ascii="宋体" w:hAnsi="宋体"/>
        </w:rPr>
        <w:t>各相关方利益保护措施</w:t>
      </w:r>
    </w:p>
    <w:tbl>
      <w:tblPr>
        <w:tblStyle w:val="3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bookmarkStart w:id="21" w:name="_Toc451610988"/>
      <w:bookmarkStart w:id="22" w:name="_Toc451610895"/>
      <w:r>
        <w:rPr>
          <w:rFonts w:hint="eastAsia" w:cs="Times New Roman" w:asciiTheme="majorEastAsia" w:hAnsiTheme="majorEastAsia" w:eastAsiaTheme="majorEastAsia"/>
          <w:b/>
          <w:color w:val="000000" w:themeColor="text1"/>
          <w:sz w:val="28"/>
          <w:szCs w:val="24"/>
          <w14:textFill>
            <w14:solidFill>
              <w14:schemeClr w14:val="tx1"/>
            </w14:solidFill>
          </w14:textFill>
        </w:rPr>
        <w:t>四、社会责任</w:t>
      </w:r>
      <w:bookmarkEnd w:id="21"/>
      <w:bookmarkEnd w:id="22"/>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3" w:name="_Toc451610896"/>
      <w:bookmarkStart w:id="24" w:name="_Toc451610989"/>
      <w:r>
        <w:rPr>
          <w:rFonts w:hint="eastAsia" w:cs="Times New Roman" w:asciiTheme="majorEastAsia" w:hAnsiTheme="majorEastAsia" w:eastAsiaTheme="majorEastAsia"/>
          <w:b/>
          <w:color w:val="000000" w:themeColor="text1"/>
          <w:sz w:val="24"/>
          <w:szCs w:val="24"/>
          <w14:textFill>
            <w14:solidFill>
              <w14:schemeClr w14:val="tx1"/>
            </w14:solidFill>
          </w14:textFill>
        </w:rPr>
        <w:t>（一）诚信守法</w:t>
      </w:r>
      <w:bookmarkEnd w:id="23"/>
      <w:bookmarkEnd w:id="24"/>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w:t>
      </w:r>
      <w:r>
        <w:rPr>
          <w:rFonts w:hint="eastAsia" w:cs="Times New Roman" w:asciiTheme="minorEastAsia" w:hAnsiTheme="minorEastAsia"/>
          <w:sz w:val="24"/>
          <w:szCs w:val="24"/>
        </w:rPr>
        <w:t>材料</w:t>
      </w:r>
      <w:r>
        <w:rPr>
          <w:rFonts w:cs="Times New Roman" w:asciiTheme="minorEastAsia" w:hAnsiTheme="minorEastAsia"/>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5" w:name="_Toc451610897"/>
      <w:bookmarkStart w:id="26" w:name="_Toc451610990"/>
      <w:r>
        <w:rPr>
          <w:rFonts w:hint="eastAsia" w:cs="Times New Roman" w:asciiTheme="majorEastAsia" w:hAnsiTheme="majorEastAsia" w:eastAsiaTheme="majorEastAsia"/>
          <w:b/>
          <w:color w:val="000000" w:themeColor="text1"/>
          <w:sz w:val="24"/>
          <w:szCs w:val="24"/>
          <w14:textFill>
            <w14:solidFill>
              <w14:schemeClr w14:val="tx1"/>
            </w14:solidFill>
          </w14:textFill>
        </w:rPr>
        <w:t>（二）质量安全</w:t>
      </w:r>
      <w:bookmarkEnd w:id="25"/>
      <w:bookmarkEnd w:id="26"/>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7" w:name="_Toc451610991"/>
      <w:bookmarkStart w:id="28" w:name="_Toc451610898"/>
      <w:r>
        <w:rPr>
          <w:rFonts w:hint="eastAsia" w:cs="Times New Roman" w:asciiTheme="majorEastAsia" w:hAnsiTheme="majorEastAsia" w:eastAsiaTheme="majorEastAsia"/>
          <w:b/>
          <w:color w:val="000000" w:themeColor="text1"/>
          <w:sz w:val="24"/>
          <w:szCs w:val="24"/>
          <w14:textFill>
            <w14:solidFill>
              <w14:schemeClr w14:val="tx1"/>
            </w14:solidFill>
          </w14:textFill>
        </w:rPr>
        <w:t>（三）员工权益</w:t>
      </w:r>
      <w:bookmarkEnd w:id="27"/>
      <w:bookmarkEnd w:id="28"/>
      <w:bookmarkStart w:id="29" w:name="_Ref328491126"/>
    </w:p>
    <w:bookmarkEnd w:id="29"/>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color w:val="auto"/>
          <w:kern w:val="0"/>
          <w:sz w:val="24"/>
          <w:szCs w:val="24"/>
          <w:highlight w:val="none"/>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w:t>
      </w:r>
      <w:r>
        <w:rPr>
          <w:rFonts w:asciiTheme="minorEastAsia" w:hAnsiTheme="minorEastAsia"/>
          <w:color w:val="auto"/>
          <w:sz w:val="24"/>
          <w:szCs w:val="24"/>
          <w:highlight w:val="none"/>
        </w:rPr>
        <w:t>为员工缴纳了养老保险金、工伤保险金、医疗保险金、失业保</w:t>
      </w:r>
      <w:r>
        <w:rPr>
          <w:rFonts w:hint="eastAsia" w:asciiTheme="minorEastAsia" w:hAnsiTheme="minorEastAsia"/>
          <w:color w:val="auto"/>
          <w:sz w:val="24"/>
          <w:szCs w:val="24"/>
          <w:highlight w:val="none"/>
        </w:rPr>
        <w:t>险</w:t>
      </w:r>
      <w:r>
        <w:rPr>
          <w:rFonts w:asciiTheme="minorEastAsia" w:hAnsiTheme="minorEastAsia"/>
          <w:color w:val="auto"/>
          <w:sz w:val="24"/>
          <w:szCs w:val="24"/>
          <w:highlight w:val="none"/>
        </w:rPr>
        <w:t>金、生育保险金。</w:t>
      </w:r>
      <w:r>
        <w:rPr>
          <w:rFonts w:hint="eastAsia" w:asciiTheme="minorEastAsia" w:hAnsiTheme="minorEastAsia"/>
          <w:color w:val="auto"/>
          <w:sz w:val="24"/>
          <w:szCs w:val="24"/>
          <w:highlight w:val="none"/>
          <w:lang w:val="en-US" w:eastAsia="zh-CN"/>
        </w:rPr>
        <w:t>公司</w:t>
      </w:r>
      <w:r>
        <w:rPr>
          <w:rFonts w:asciiTheme="minorEastAsia" w:hAnsiTheme="minorEastAsia"/>
          <w:color w:val="auto"/>
          <w:sz w:val="24"/>
          <w:szCs w:val="24"/>
          <w:highlight w:val="none"/>
        </w:rPr>
        <w:t>劳动合同</w:t>
      </w:r>
      <w:r>
        <w:rPr>
          <w:rFonts w:hint="eastAsia" w:asciiTheme="minorEastAsia" w:hAnsiTheme="minorEastAsia"/>
          <w:color w:val="auto"/>
          <w:sz w:val="24"/>
          <w:szCs w:val="24"/>
          <w:highlight w:val="none"/>
        </w:rPr>
        <w:t>签订</w:t>
      </w:r>
      <w:r>
        <w:rPr>
          <w:rFonts w:asciiTheme="minorEastAsia" w:hAnsiTheme="minorEastAsia"/>
          <w:color w:val="auto"/>
          <w:sz w:val="24"/>
          <w:szCs w:val="24"/>
          <w:highlight w:val="none"/>
        </w:rPr>
        <w:t>率为</w:t>
      </w:r>
      <w:r>
        <w:rPr>
          <w:rFonts w:hint="eastAsia" w:asciiTheme="minorEastAsia" w:hAnsiTheme="minorEastAsia"/>
          <w:color w:val="auto"/>
          <w:sz w:val="24"/>
          <w:szCs w:val="24"/>
          <w:highlight w:val="none"/>
        </w:rPr>
        <w:t>100</w:t>
      </w:r>
      <w:r>
        <w:rPr>
          <w:rFonts w:asciiTheme="minorEastAsia" w:hAnsiTheme="minorEastAsia"/>
          <w:color w:val="auto"/>
          <w:sz w:val="24"/>
          <w:szCs w:val="24"/>
          <w:highlight w:val="none"/>
        </w:rPr>
        <w:t>%。</w:t>
      </w:r>
      <w:r>
        <w:rPr>
          <w:rFonts w:hint="eastAsia" w:asciiTheme="minorEastAsia" w:hAnsiTheme="minorEastAsia"/>
          <w:color w:val="auto"/>
          <w:sz w:val="24"/>
          <w:szCs w:val="24"/>
          <w:highlight w:val="none"/>
        </w:rPr>
        <w:t>同时，员工享有过</w:t>
      </w:r>
      <w:r>
        <w:rPr>
          <w:rFonts w:hint="eastAsia" w:cs="Times New Roman" w:asciiTheme="minorEastAsia" w:hAnsiTheme="minorEastAsia"/>
          <w:color w:val="auto"/>
          <w:kern w:val="0"/>
          <w:sz w:val="24"/>
          <w:szCs w:val="24"/>
          <w:highlight w:val="none"/>
        </w:rPr>
        <w:t>节福利、防暑降温药品等福利。公司</w:t>
      </w:r>
      <w:r>
        <w:rPr>
          <w:rFonts w:cs="Times New Roman" w:asciiTheme="minorEastAsia" w:hAnsiTheme="minorEastAsia"/>
          <w:color w:val="auto"/>
          <w:kern w:val="0"/>
          <w:sz w:val="24"/>
          <w:szCs w:val="24"/>
          <w:highlight w:val="none"/>
        </w:rPr>
        <w:t>不断完善员工反映问题和</w:t>
      </w:r>
      <w:r>
        <w:rPr>
          <w:rFonts w:hint="eastAsia" w:cs="Times New Roman" w:asciiTheme="minorEastAsia" w:hAnsiTheme="minorEastAsia"/>
          <w:color w:val="auto"/>
          <w:kern w:val="0"/>
          <w:sz w:val="24"/>
          <w:szCs w:val="24"/>
          <w:highlight w:val="none"/>
        </w:rPr>
        <w:t>诉求</w:t>
      </w:r>
      <w:r>
        <w:rPr>
          <w:rFonts w:cs="Times New Roman" w:asciiTheme="minorEastAsia" w:hAnsiTheme="minorEastAsia"/>
          <w:color w:val="auto"/>
          <w:kern w:val="0"/>
          <w:sz w:val="24"/>
          <w:szCs w:val="24"/>
          <w:highlight w:val="none"/>
        </w:rPr>
        <w:t>的渠道及处理机制</w:t>
      </w:r>
      <w:r>
        <w:rPr>
          <w:rFonts w:hint="eastAsia" w:cs="Times New Roman" w:asciiTheme="minorEastAsia" w:hAnsiTheme="minorEastAsia"/>
          <w:color w:val="auto"/>
          <w:kern w:val="0"/>
          <w:sz w:val="24"/>
          <w:szCs w:val="24"/>
          <w:highlight w:val="none"/>
        </w:rPr>
        <w:t>。员工可</w:t>
      </w:r>
      <w:r>
        <w:rPr>
          <w:rFonts w:cs="Times New Roman" w:asciiTheme="minorEastAsia" w:hAnsiTheme="minorEastAsia"/>
          <w:color w:val="auto"/>
          <w:kern w:val="0"/>
          <w:sz w:val="24"/>
          <w:szCs w:val="24"/>
          <w:highlight w:val="none"/>
        </w:rPr>
        <w:t>通过电话、微信</w:t>
      </w:r>
      <w:r>
        <w:rPr>
          <w:rFonts w:hint="eastAsia" w:cs="Times New Roman" w:asciiTheme="minorEastAsia" w:hAnsiTheme="minorEastAsia"/>
          <w:color w:val="auto"/>
          <w:kern w:val="0"/>
          <w:sz w:val="24"/>
          <w:szCs w:val="24"/>
          <w:highlight w:val="none"/>
        </w:rPr>
        <w:t>等</w:t>
      </w:r>
      <w:r>
        <w:rPr>
          <w:rFonts w:cs="Times New Roman" w:asciiTheme="minorEastAsia" w:hAnsiTheme="minorEastAsia"/>
          <w:color w:val="auto"/>
          <w:kern w:val="0"/>
          <w:sz w:val="24"/>
          <w:szCs w:val="24"/>
          <w:highlight w:val="none"/>
        </w:rPr>
        <w:t>渠道，反映</w:t>
      </w:r>
      <w:r>
        <w:rPr>
          <w:rFonts w:hint="eastAsia" w:cs="Times New Roman" w:asciiTheme="minorEastAsia" w:hAnsiTheme="minorEastAsia"/>
          <w:color w:val="auto"/>
          <w:kern w:val="0"/>
          <w:sz w:val="24"/>
          <w:szCs w:val="24"/>
          <w:highlight w:val="none"/>
        </w:rPr>
        <w:t>他们</w:t>
      </w:r>
      <w:r>
        <w:rPr>
          <w:rFonts w:cs="Times New Roman" w:asciiTheme="minorEastAsia" w:hAnsiTheme="minorEastAsia"/>
          <w:color w:val="auto"/>
          <w:kern w:val="0"/>
          <w:sz w:val="24"/>
          <w:szCs w:val="24"/>
          <w:highlight w:val="none"/>
        </w:rPr>
        <w:t>遇到或可能发生的问题。公司</w:t>
      </w:r>
      <w:r>
        <w:rPr>
          <w:rFonts w:hint="eastAsia" w:cs="Times New Roman" w:asciiTheme="minorEastAsia" w:hAnsiTheme="minorEastAsia"/>
          <w:color w:val="auto"/>
          <w:kern w:val="0"/>
          <w:sz w:val="24"/>
          <w:szCs w:val="24"/>
          <w:highlight w:val="none"/>
        </w:rPr>
        <w:t>高度</w:t>
      </w:r>
      <w:r>
        <w:rPr>
          <w:rFonts w:cs="Times New Roman" w:asciiTheme="minorEastAsia" w:hAnsiTheme="minorEastAsia"/>
          <w:color w:val="auto"/>
          <w:kern w:val="0"/>
          <w:sz w:val="24"/>
          <w:szCs w:val="24"/>
          <w:highlight w:val="none"/>
        </w:rPr>
        <w:t>重视员工申述</w:t>
      </w:r>
      <w:r>
        <w:rPr>
          <w:rFonts w:hint="eastAsia" w:cs="Times New Roman" w:asciiTheme="minorEastAsia" w:hAnsiTheme="minorEastAsia"/>
          <w:color w:val="auto"/>
          <w:kern w:val="0"/>
          <w:sz w:val="24"/>
          <w:szCs w:val="24"/>
          <w:highlight w:val="none"/>
        </w:rPr>
        <w:t>事件</w:t>
      </w:r>
      <w:r>
        <w:rPr>
          <w:rFonts w:cs="Times New Roman" w:asciiTheme="minorEastAsia" w:hAnsiTheme="minorEastAsia"/>
          <w:color w:val="auto"/>
          <w:kern w:val="0"/>
          <w:sz w:val="24"/>
          <w:szCs w:val="24"/>
          <w:highlight w:val="none"/>
        </w:rPr>
        <w:t>，保证处理程序正当、依据明确</w:t>
      </w:r>
      <w:r>
        <w:rPr>
          <w:rFonts w:hint="eastAsia" w:cs="Times New Roman" w:asciiTheme="minorEastAsia" w:hAnsiTheme="minorEastAsia"/>
          <w:color w:val="auto"/>
          <w:kern w:val="0"/>
          <w:sz w:val="24"/>
          <w:szCs w:val="24"/>
          <w:highlight w:val="none"/>
        </w:rPr>
        <w:t>、</w:t>
      </w:r>
      <w:r>
        <w:rPr>
          <w:rFonts w:cs="Times New Roman" w:asciiTheme="minorEastAsia" w:hAnsiTheme="minorEastAsia"/>
          <w:color w:val="auto"/>
          <w:kern w:val="0"/>
          <w:sz w:val="24"/>
          <w:szCs w:val="24"/>
          <w:highlight w:val="none"/>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ascii="宋体" w:hAnsi="宋体" w:eastAsia="宋体" w:cs="Helvetica"/>
          <w:b/>
          <w:bCs/>
          <w:color w:val="000000" w:themeColor="text1"/>
          <w:kern w:val="0"/>
          <w:sz w:val="24"/>
          <w:szCs w:val="24"/>
          <w:lang w:val="en"/>
          <w14:textFill>
            <w14:solidFill>
              <w14:schemeClr w14:val="tx1"/>
            </w14:solidFill>
          </w14:textFill>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0" w:name="_Toc451610900"/>
      <w:bookmarkStart w:id="31" w:name="_Toc451610993"/>
    </w:p>
    <w:p>
      <w:pPr>
        <w:widowControl/>
        <w:shd w:val="clear" w:color="auto" w:fill="FFFFFF"/>
        <w:spacing w:line="276" w:lineRule="auto"/>
        <w:jc w:val="left"/>
        <w:outlineLvl w:val="1"/>
        <w:rPr>
          <w:rFonts w:hint="eastAsia" w:ascii="宋体" w:hAnsi="宋体" w:eastAsia="宋体" w:cs="Helvetica"/>
          <w:b/>
          <w:bCs/>
          <w:color w:val="auto"/>
          <w:kern w:val="0"/>
          <w:sz w:val="24"/>
          <w:szCs w:val="24"/>
          <w:highlight w:val="none"/>
          <w:shd w:val="clear" w:color="FFFFFF" w:fill="D9D9D9"/>
          <w:lang w:val="en" w:eastAsia="zh-CN"/>
        </w:rPr>
      </w:pPr>
      <w:r>
        <w:rPr>
          <w:rFonts w:hint="eastAsia" w:ascii="宋体" w:hAnsi="宋体" w:eastAsia="宋体" w:cs="Helvetica"/>
          <w:b/>
          <w:bCs/>
          <w:color w:val="auto"/>
          <w:kern w:val="0"/>
          <w:sz w:val="24"/>
          <w:szCs w:val="24"/>
          <w:highlight w:val="none"/>
          <w:shd w:val="clear" w:color="FFFFFF" w:fill="D9D9D9"/>
          <w:lang w:val="en"/>
        </w:rPr>
        <w:t>（四）社会荣誉</w:t>
      </w:r>
      <w:bookmarkEnd w:id="30"/>
      <w:bookmarkEnd w:id="31"/>
    </w:p>
    <w:tbl>
      <w:tblPr>
        <w:tblStyle w:val="38"/>
        <w:tblW w:w="5000" w:type="pct"/>
        <w:tblInd w:w="0" w:type="dxa"/>
        <w:tblLayout w:type="fixed"/>
        <w:tblCellMar>
          <w:top w:w="0" w:type="dxa"/>
          <w:left w:w="108" w:type="dxa"/>
          <w:bottom w:w="0" w:type="dxa"/>
          <w:right w:w="108" w:type="dxa"/>
        </w:tblCellMar>
      </w:tblPr>
      <w:tblGrid>
        <w:gridCol w:w="553"/>
        <w:gridCol w:w="2863"/>
        <w:gridCol w:w="1368"/>
        <w:gridCol w:w="3738"/>
      </w:tblGrid>
      <w:tr>
        <w:tblPrEx>
          <w:tblCellMar>
            <w:top w:w="0" w:type="dxa"/>
            <w:left w:w="108" w:type="dxa"/>
            <w:bottom w:w="0" w:type="dxa"/>
            <w:right w:w="108" w:type="dxa"/>
          </w:tblCellMar>
        </w:tblPrEx>
        <w:trPr>
          <w:trHeight w:val="926" w:hRule="atLeast"/>
        </w:trPr>
        <w:tc>
          <w:tcPr>
            <w:tcW w:w="3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序号</w:t>
            </w:r>
          </w:p>
        </w:tc>
        <w:tc>
          <w:tcPr>
            <w:tcW w:w="16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获奖名称</w:t>
            </w:r>
          </w:p>
        </w:tc>
        <w:tc>
          <w:tcPr>
            <w:tcW w:w="8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获奖时间</w:t>
            </w:r>
          </w:p>
        </w:tc>
        <w:tc>
          <w:tcPr>
            <w:tcW w:w="21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颁奖部门</w:t>
            </w:r>
          </w:p>
        </w:tc>
      </w:tr>
      <w:tr>
        <w:tblPrEx>
          <w:tblCellMar>
            <w:top w:w="0" w:type="dxa"/>
            <w:left w:w="108" w:type="dxa"/>
            <w:bottom w:w="0" w:type="dxa"/>
            <w:right w:w="108" w:type="dxa"/>
          </w:tblCellMar>
        </w:tblPrEx>
        <w:trPr>
          <w:trHeight w:val="97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1679"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省级科技型中小企业</w:t>
            </w:r>
          </w:p>
        </w:tc>
        <w:tc>
          <w:tcPr>
            <w:tcW w:w="802"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2020.6</w:t>
            </w:r>
          </w:p>
        </w:tc>
        <w:tc>
          <w:tcPr>
            <w:tcW w:w="2193"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台州市科学技术局</w:t>
            </w:r>
          </w:p>
        </w:tc>
      </w:tr>
    </w:tbl>
    <w:p>
      <w:pPr>
        <w:widowControl/>
        <w:shd w:val="clear" w:color="auto" w:fill="FFFFFF"/>
        <w:spacing w:line="276" w:lineRule="auto"/>
        <w:jc w:val="left"/>
        <w:outlineLvl w:val="1"/>
        <w:rPr>
          <w:rFonts w:ascii="宋体" w:hAnsi="宋体" w:eastAsia="宋体" w:cs="Helvetica"/>
          <w:b/>
          <w:bCs/>
          <w:color w:val="000000" w:themeColor="text1"/>
          <w:kern w:val="0"/>
          <w:sz w:val="24"/>
          <w:szCs w:val="24"/>
          <w:lang w:val="en"/>
          <w14:textFill>
            <w14:solidFill>
              <w14:schemeClr w14:val="tx1"/>
            </w14:solidFill>
          </w14:textFill>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五、环境责任</w:t>
      </w:r>
    </w:p>
    <w:p>
      <w:pPr>
        <w:spacing w:line="360" w:lineRule="auto"/>
        <w:ind w:firstLine="480" w:firstLineChars="200"/>
        <w:rPr>
          <w:rFonts w:ascii="宋体" w:hAnsi="宋体" w:eastAsia="宋体" w:cs="Times New Roman"/>
          <w:kern w:val="0"/>
          <w:sz w:val="24"/>
          <w:szCs w:val="24"/>
          <w:lang w:val="zh-CN"/>
        </w:rPr>
      </w:pPr>
      <w:r>
        <w:rPr>
          <w:rFonts w:cs="Times New Roman" w:asciiTheme="minorEastAsia" w:hAnsiTheme="minorEastAsia"/>
          <w:kern w:val="0"/>
          <w:sz w:val="24"/>
          <w:szCs w:val="24"/>
          <w:lang w:val="zh-CN"/>
        </w:rPr>
        <w:t>公司坚持“保护环境，造福人类，预防污染，持续改进”的环保方针，通过不断改进技术与工艺</w:t>
      </w:r>
      <w:r>
        <w:rPr>
          <w:rFonts w:hint="eastAsia" w:cs="Times New Roman" w:asciiTheme="minorEastAsia" w:hAnsiTheme="minorEastAsia"/>
          <w:kern w:val="0"/>
          <w:sz w:val="24"/>
          <w:szCs w:val="24"/>
          <w:lang w:val="zh-CN"/>
        </w:rPr>
        <w:t>,更换零部</w:t>
      </w:r>
      <w:bookmarkStart w:id="34" w:name="_GoBack"/>
      <w:bookmarkEnd w:id="34"/>
      <w:r>
        <w:rPr>
          <w:rFonts w:hint="eastAsia" w:cs="Times New Roman" w:asciiTheme="minorEastAsia" w:hAnsiTheme="minorEastAsia"/>
          <w:kern w:val="0"/>
          <w:sz w:val="24"/>
          <w:szCs w:val="24"/>
          <w:lang w:val="zh-CN"/>
        </w:rPr>
        <w:t>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4"/>
          <w:szCs w:val="24"/>
          <w:lang w:val="zh-CN"/>
        </w:rPr>
        <w:t>。</w:t>
      </w:r>
    </w:p>
    <w:p>
      <w:pPr>
        <w:spacing w:before="156" w:beforeLines="50" w:after="156" w:afterLines="50" w:line="276" w:lineRule="auto"/>
        <w:outlineLvl w:val="1"/>
        <w:rPr>
          <w:rFonts w:ascii="宋体" w:hAnsi="宋体" w:eastAsia="宋体" w:cs="Times New Roman"/>
          <w:b/>
          <w:sz w:val="24"/>
          <w:szCs w:val="24"/>
        </w:rPr>
      </w:pPr>
      <w:bookmarkStart w:id="32" w:name="_Toc451610902"/>
      <w:bookmarkStart w:id="33" w:name="_Toc451610995"/>
      <w:r>
        <w:rPr>
          <w:rFonts w:hint="eastAsia" w:ascii="宋体" w:hAnsi="宋体" w:eastAsia="宋体" w:cs="Times New Roman"/>
          <w:b/>
          <w:sz w:val="24"/>
          <w:szCs w:val="24"/>
        </w:rPr>
        <w:t>（一）环境保护</w:t>
      </w:r>
      <w:bookmarkEnd w:id="32"/>
      <w:bookmarkEnd w:id="33"/>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环境因素识别与评价控制程序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、《环境、职业健康安全运行控制》</w:t>
      </w:r>
      <w:r>
        <w:rPr>
          <w:rFonts w:cs="Times New Roman" w:asciiTheme="minorEastAsia" w:hAnsiTheme="minorEastAsia"/>
          <w:kern w:val="0"/>
          <w:sz w:val="24"/>
          <w:szCs w:val="24"/>
          <w:lang w:val="zh-CN"/>
        </w:rPr>
        <w:t>等制度和管理办法</w:t>
      </w:r>
      <w:r>
        <w:rPr>
          <w:rFonts w:hint="eastAsia" w:cs="Times New Roman" w:asciiTheme="minorEastAsia" w:hAnsiTheme="minorEastAsia"/>
          <w:kern w:val="0"/>
          <w:sz w:val="24"/>
          <w:szCs w:val="24"/>
          <w:lang w:val="zh-CN"/>
        </w:rPr>
        <w:t>。</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（二）道德行为：</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（三）公益支持：</w:t>
      </w:r>
    </w:p>
    <w:p>
      <w:pPr>
        <w:pStyle w:val="86"/>
        <w:ind w:firstLine="480"/>
        <w:rPr>
          <w:rFonts w:asciiTheme="minorEastAsia" w:hAnsiTheme="minorEastAsia" w:eastAsiaTheme="minorEastAsia"/>
          <w:bCs w:val="0"/>
          <w:color w:val="FF0000"/>
          <w:kern w:val="0"/>
          <w:lang w:val="zh-CN"/>
        </w:rPr>
      </w:pPr>
      <w:r>
        <w:rPr>
          <w:rFonts w:hint="eastAsia" w:asciiTheme="minorEastAsia" w:hAnsiTheme="minorEastAsia" w:eastAsiaTheme="minor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w:t>
      </w:r>
    </w:p>
    <w:tbl>
      <w:tblPr>
        <w:tblStyle w:val="38"/>
        <w:tblW w:w="8150" w:type="dxa"/>
        <w:tblInd w:w="91" w:type="dxa"/>
        <w:tblLayout w:type="fixed"/>
        <w:tblCellMar>
          <w:top w:w="0" w:type="dxa"/>
          <w:left w:w="108" w:type="dxa"/>
          <w:bottom w:w="0" w:type="dxa"/>
          <w:right w:w="108" w:type="dxa"/>
        </w:tblCellMar>
      </w:tblPr>
      <w:tblGrid>
        <w:gridCol w:w="4455"/>
        <w:gridCol w:w="1995"/>
        <w:gridCol w:w="1700"/>
      </w:tblGrid>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项目</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捐赠时间</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金额（元）</w:t>
            </w:r>
          </w:p>
        </w:tc>
      </w:tr>
      <w:tr>
        <w:tblPrEx>
          <w:tblCellMar>
            <w:top w:w="0" w:type="dxa"/>
            <w:left w:w="108" w:type="dxa"/>
            <w:bottom w:w="0" w:type="dxa"/>
            <w:right w:w="108" w:type="dxa"/>
          </w:tblCellMar>
        </w:tblPrEx>
        <w:trPr>
          <w:trHeight w:val="417" w:hRule="atLeast"/>
        </w:trPr>
        <w:tc>
          <w:tcPr>
            <w:tcW w:w="445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抗疫捐款（向台州市椒江区慈善总会）</w:t>
            </w:r>
          </w:p>
        </w:tc>
        <w:tc>
          <w:tcPr>
            <w:tcW w:w="19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2020.2.3</w:t>
            </w:r>
          </w:p>
        </w:tc>
        <w:tc>
          <w:tcPr>
            <w:tcW w:w="17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10000</w:t>
            </w:r>
          </w:p>
        </w:tc>
      </w:tr>
      <w:tr>
        <w:tblPrEx>
          <w:tblCellMar>
            <w:top w:w="0" w:type="dxa"/>
            <w:left w:w="108" w:type="dxa"/>
            <w:bottom w:w="0" w:type="dxa"/>
            <w:right w:w="108" w:type="dxa"/>
          </w:tblCellMar>
        </w:tblPrEx>
        <w:trPr>
          <w:trHeight w:val="357" w:hRule="atLeast"/>
        </w:trPr>
        <w:tc>
          <w:tcPr>
            <w:tcW w:w="445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抗疫捐赠护目镜（向交警队、派出所、街道办捐赠）</w:t>
            </w:r>
          </w:p>
        </w:tc>
        <w:tc>
          <w:tcPr>
            <w:tcW w:w="19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2020.2.10</w:t>
            </w:r>
          </w:p>
        </w:tc>
        <w:tc>
          <w:tcPr>
            <w:tcW w:w="17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若干</w:t>
            </w:r>
          </w:p>
        </w:tc>
      </w:tr>
    </w:tbl>
    <w:p>
      <w:pPr>
        <w:spacing w:line="360" w:lineRule="auto"/>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drawing>
        <wp:inline distT="0" distB="0" distL="0" distR="0">
          <wp:extent cx="1310640" cy="42418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371670" cy="444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6"/>
    <w:rsid w:val="000001E5"/>
    <w:rsid w:val="00004397"/>
    <w:rsid w:val="00036A7A"/>
    <w:rsid w:val="00040AD1"/>
    <w:rsid w:val="000437A1"/>
    <w:rsid w:val="00051026"/>
    <w:rsid w:val="000519DC"/>
    <w:rsid w:val="00066D0C"/>
    <w:rsid w:val="00093D9A"/>
    <w:rsid w:val="000B0879"/>
    <w:rsid w:val="000C3B69"/>
    <w:rsid w:val="000F2948"/>
    <w:rsid w:val="00116ECF"/>
    <w:rsid w:val="00131595"/>
    <w:rsid w:val="001420F3"/>
    <w:rsid w:val="00165DCC"/>
    <w:rsid w:val="00177B85"/>
    <w:rsid w:val="00186145"/>
    <w:rsid w:val="001A32F1"/>
    <w:rsid w:val="001B196B"/>
    <w:rsid w:val="001F2219"/>
    <w:rsid w:val="001F317C"/>
    <w:rsid w:val="001F73E7"/>
    <w:rsid w:val="0020185A"/>
    <w:rsid w:val="00205BD5"/>
    <w:rsid w:val="00225468"/>
    <w:rsid w:val="00233AAC"/>
    <w:rsid w:val="00234E6C"/>
    <w:rsid w:val="00241399"/>
    <w:rsid w:val="0024604C"/>
    <w:rsid w:val="0026728E"/>
    <w:rsid w:val="00273CA9"/>
    <w:rsid w:val="002827AB"/>
    <w:rsid w:val="002B6B4E"/>
    <w:rsid w:val="002E6A2A"/>
    <w:rsid w:val="003209F3"/>
    <w:rsid w:val="00330422"/>
    <w:rsid w:val="003573D2"/>
    <w:rsid w:val="00377118"/>
    <w:rsid w:val="00385FB5"/>
    <w:rsid w:val="00397853"/>
    <w:rsid w:val="003C2E66"/>
    <w:rsid w:val="003C2FB7"/>
    <w:rsid w:val="003C7121"/>
    <w:rsid w:val="003F0C1A"/>
    <w:rsid w:val="004432F6"/>
    <w:rsid w:val="00463CC3"/>
    <w:rsid w:val="00470384"/>
    <w:rsid w:val="004839EA"/>
    <w:rsid w:val="00485095"/>
    <w:rsid w:val="004978CF"/>
    <w:rsid w:val="004A06E6"/>
    <w:rsid w:val="004A48E7"/>
    <w:rsid w:val="004B21B4"/>
    <w:rsid w:val="004F3952"/>
    <w:rsid w:val="005177C0"/>
    <w:rsid w:val="00554B93"/>
    <w:rsid w:val="00555AC2"/>
    <w:rsid w:val="0057588D"/>
    <w:rsid w:val="00575CB2"/>
    <w:rsid w:val="005A5A6F"/>
    <w:rsid w:val="005C7BEC"/>
    <w:rsid w:val="005E6966"/>
    <w:rsid w:val="00603844"/>
    <w:rsid w:val="006278F0"/>
    <w:rsid w:val="00634892"/>
    <w:rsid w:val="006358FF"/>
    <w:rsid w:val="00637B07"/>
    <w:rsid w:val="00644EFD"/>
    <w:rsid w:val="006644E1"/>
    <w:rsid w:val="00667FBF"/>
    <w:rsid w:val="006717C8"/>
    <w:rsid w:val="00671E41"/>
    <w:rsid w:val="00686622"/>
    <w:rsid w:val="006C19F4"/>
    <w:rsid w:val="006F0218"/>
    <w:rsid w:val="006F6F50"/>
    <w:rsid w:val="00703B80"/>
    <w:rsid w:val="00714A72"/>
    <w:rsid w:val="00714C31"/>
    <w:rsid w:val="007163AE"/>
    <w:rsid w:val="00716577"/>
    <w:rsid w:val="00730453"/>
    <w:rsid w:val="00730A7E"/>
    <w:rsid w:val="00736DA1"/>
    <w:rsid w:val="00767175"/>
    <w:rsid w:val="0078520C"/>
    <w:rsid w:val="00793FD8"/>
    <w:rsid w:val="007949D8"/>
    <w:rsid w:val="007B1A38"/>
    <w:rsid w:val="007D3629"/>
    <w:rsid w:val="007F6C94"/>
    <w:rsid w:val="0081344C"/>
    <w:rsid w:val="00824AF2"/>
    <w:rsid w:val="00880AAF"/>
    <w:rsid w:val="008840F8"/>
    <w:rsid w:val="008B0FC2"/>
    <w:rsid w:val="008B2A22"/>
    <w:rsid w:val="008B7331"/>
    <w:rsid w:val="008C5277"/>
    <w:rsid w:val="008D6DB7"/>
    <w:rsid w:val="008E7DC2"/>
    <w:rsid w:val="008F527C"/>
    <w:rsid w:val="00902A23"/>
    <w:rsid w:val="009112BB"/>
    <w:rsid w:val="00930314"/>
    <w:rsid w:val="0094693B"/>
    <w:rsid w:val="00951B16"/>
    <w:rsid w:val="00966680"/>
    <w:rsid w:val="009811C7"/>
    <w:rsid w:val="00992744"/>
    <w:rsid w:val="009A0384"/>
    <w:rsid w:val="009B3814"/>
    <w:rsid w:val="009F0B5B"/>
    <w:rsid w:val="009F0CD8"/>
    <w:rsid w:val="009F5B39"/>
    <w:rsid w:val="009F7CA5"/>
    <w:rsid w:val="009F7FA0"/>
    <w:rsid w:val="00A30274"/>
    <w:rsid w:val="00A31629"/>
    <w:rsid w:val="00A322BA"/>
    <w:rsid w:val="00A34090"/>
    <w:rsid w:val="00A35D62"/>
    <w:rsid w:val="00A41920"/>
    <w:rsid w:val="00A8779C"/>
    <w:rsid w:val="00AE5531"/>
    <w:rsid w:val="00B1748F"/>
    <w:rsid w:val="00B17748"/>
    <w:rsid w:val="00B355F3"/>
    <w:rsid w:val="00B41AA4"/>
    <w:rsid w:val="00B476B3"/>
    <w:rsid w:val="00B575F2"/>
    <w:rsid w:val="00B65A19"/>
    <w:rsid w:val="00B7013E"/>
    <w:rsid w:val="00B81A74"/>
    <w:rsid w:val="00B9573E"/>
    <w:rsid w:val="00BA0555"/>
    <w:rsid w:val="00BA5798"/>
    <w:rsid w:val="00BB2768"/>
    <w:rsid w:val="00BD23D5"/>
    <w:rsid w:val="00BD71E6"/>
    <w:rsid w:val="00BF63C4"/>
    <w:rsid w:val="00C0783F"/>
    <w:rsid w:val="00C11EF1"/>
    <w:rsid w:val="00C5360B"/>
    <w:rsid w:val="00C62CC5"/>
    <w:rsid w:val="00C72D50"/>
    <w:rsid w:val="00C75F8D"/>
    <w:rsid w:val="00C76CCB"/>
    <w:rsid w:val="00C93C36"/>
    <w:rsid w:val="00CC6321"/>
    <w:rsid w:val="00CC6FE8"/>
    <w:rsid w:val="00CD5536"/>
    <w:rsid w:val="00CD5A41"/>
    <w:rsid w:val="00CD6E6A"/>
    <w:rsid w:val="00CE52C8"/>
    <w:rsid w:val="00CE73FD"/>
    <w:rsid w:val="00CF5AE9"/>
    <w:rsid w:val="00D0108B"/>
    <w:rsid w:val="00D43FE8"/>
    <w:rsid w:val="00D56F1C"/>
    <w:rsid w:val="00D76656"/>
    <w:rsid w:val="00D77F15"/>
    <w:rsid w:val="00D82A94"/>
    <w:rsid w:val="00D958DE"/>
    <w:rsid w:val="00DA3FF1"/>
    <w:rsid w:val="00DC004C"/>
    <w:rsid w:val="00DE2DFB"/>
    <w:rsid w:val="00DE4754"/>
    <w:rsid w:val="00DF4F7B"/>
    <w:rsid w:val="00E1560D"/>
    <w:rsid w:val="00E23FAD"/>
    <w:rsid w:val="00E52188"/>
    <w:rsid w:val="00E560FF"/>
    <w:rsid w:val="00E62080"/>
    <w:rsid w:val="00EA43FF"/>
    <w:rsid w:val="00EC5685"/>
    <w:rsid w:val="00ED47AF"/>
    <w:rsid w:val="00EF7FEC"/>
    <w:rsid w:val="00F02061"/>
    <w:rsid w:val="00F72C6E"/>
    <w:rsid w:val="00F73F58"/>
    <w:rsid w:val="00FA38C3"/>
    <w:rsid w:val="00FC3183"/>
    <w:rsid w:val="01915353"/>
    <w:rsid w:val="03AF34A2"/>
    <w:rsid w:val="05205355"/>
    <w:rsid w:val="060374E1"/>
    <w:rsid w:val="099C3C23"/>
    <w:rsid w:val="0E92577A"/>
    <w:rsid w:val="15E4163C"/>
    <w:rsid w:val="1FE32AA5"/>
    <w:rsid w:val="223775AC"/>
    <w:rsid w:val="23DB1D7E"/>
    <w:rsid w:val="260B328E"/>
    <w:rsid w:val="277B0325"/>
    <w:rsid w:val="28C07367"/>
    <w:rsid w:val="2B681337"/>
    <w:rsid w:val="2E5A64A6"/>
    <w:rsid w:val="2F91426B"/>
    <w:rsid w:val="31726B84"/>
    <w:rsid w:val="35900E6B"/>
    <w:rsid w:val="400A09BF"/>
    <w:rsid w:val="48D811F5"/>
    <w:rsid w:val="4E5A19FE"/>
    <w:rsid w:val="52631F37"/>
    <w:rsid w:val="5965519C"/>
    <w:rsid w:val="5F7610AD"/>
    <w:rsid w:val="5F7E31F1"/>
    <w:rsid w:val="63A368F8"/>
    <w:rsid w:val="69D13148"/>
    <w:rsid w:val="6C45775B"/>
    <w:rsid w:val="6D25245D"/>
    <w:rsid w:val="732F36FA"/>
    <w:rsid w:val="75332B1D"/>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9"/>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0"/>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1"/>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2"/>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1"/>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6"/>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2"/>
    <w:unhideWhenUsed/>
    <w:qFormat/>
    <w:uiPriority w:val="99"/>
    <w:pPr>
      <w:jc w:val="left"/>
    </w:pPr>
  </w:style>
  <w:style w:type="paragraph" w:styleId="16">
    <w:name w:val="Salutation"/>
    <w:basedOn w:val="1"/>
    <w:next w:val="1"/>
    <w:link w:val="63"/>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8"/>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6"/>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0"/>
    <w:qFormat/>
    <w:uiPriority w:val="99"/>
    <w:pPr>
      <w:ind w:left="100" w:leftChars="2500"/>
    </w:pPr>
    <w:rPr>
      <w:rFonts w:ascii="Times New Roman" w:hAnsi="Times New Roman" w:eastAsia="宋体" w:cs="Times New Roman"/>
      <w:szCs w:val="21"/>
    </w:rPr>
  </w:style>
  <w:style w:type="paragraph" w:styleId="25">
    <w:name w:val="endnote text"/>
    <w:basedOn w:val="1"/>
    <w:link w:val="80"/>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4"/>
    <w:unhideWhenUsed/>
    <w:qFormat/>
    <w:uiPriority w:val="99"/>
    <w:rPr>
      <w:sz w:val="18"/>
      <w:szCs w:val="18"/>
    </w:rPr>
  </w:style>
  <w:style w:type="paragraph" w:styleId="27">
    <w:name w:val="footer"/>
    <w:basedOn w:val="1"/>
    <w:link w:val="46"/>
    <w:unhideWhenUsed/>
    <w:qFormat/>
    <w:uiPriority w:val="99"/>
    <w:pPr>
      <w:tabs>
        <w:tab w:val="center" w:pos="4153"/>
        <w:tab w:val="right" w:pos="8306"/>
      </w:tabs>
      <w:snapToGrid w:val="0"/>
      <w:jc w:val="left"/>
    </w:pPr>
    <w:rPr>
      <w:sz w:val="18"/>
      <w:szCs w:val="18"/>
    </w:rPr>
  </w:style>
  <w:style w:type="paragraph" w:styleId="28">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8"/>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3"/>
    <w:unhideWhenUsed/>
    <w:qFormat/>
    <w:uiPriority w:val="99"/>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endnote reference"/>
    <w:basedOn w:val="40"/>
    <w:unhideWhenUsed/>
    <w:qFormat/>
    <w:uiPriority w:val="99"/>
    <w:rPr>
      <w:vertAlign w:val="superscript"/>
    </w:rPr>
  </w:style>
  <w:style w:type="character" w:styleId="42">
    <w:name w:val="page number"/>
    <w:basedOn w:val="40"/>
    <w:qFormat/>
    <w:uiPriority w:val="0"/>
  </w:style>
  <w:style w:type="character" w:styleId="43">
    <w:name w:val="Hyperlink"/>
    <w:basedOn w:val="40"/>
    <w:unhideWhenUsed/>
    <w:qFormat/>
    <w:uiPriority w:val="99"/>
    <w:rPr>
      <w:color w:val="0563C1" w:themeColor="hyperlink"/>
      <w:u w:val="single"/>
      <w14:textFill>
        <w14:solidFill>
          <w14:schemeClr w14:val="hlink"/>
        </w14:solidFill>
      </w14:textFill>
    </w:rPr>
  </w:style>
  <w:style w:type="character" w:styleId="44">
    <w:name w:val="annotation reference"/>
    <w:basedOn w:val="40"/>
    <w:unhideWhenUsed/>
    <w:qFormat/>
    <w:uiPriority w:val="0"/>
    <w:rPr>
      <w:sz w:val="21"/>
      <w:szCs w:val="21"/>
    </w:rPr>
  </w:style>
  <w:style w:type="character" w:customStyle="1" w:styleId="45">
    <w:name w:val="页眉 字符"/>
    <w:basedOn w:val="40"/>
    <w:link w:val="28"/>
    <w:qFormat/>
    <w:uiPriority w:val="99"/>
    <w:rPr>
      <w:sz w:val="18"/>
      <w:szCs w:val="18"/>
    </w:rPr>
  </w:style>
  <w:style w:type="character" w:customStyle="1" w:styleId="46">
    <w:name w:val="页脚 字符"/>
    <w:basedOn w:val="40"/>
    <w:link w:val="27"/>
    <w:qFormat/>
    <w:uiPriority w:val="99"/>
    <w:rPr>
      <w:sz w:val="18"/>
      <w:szCs w:val="18"/>
    </w:rPr>
  </w:style>
  <w:style w:type="paragraph" w:customStyle="1" w:styleId="47">
    <w:name w:val="aSTL正文"/>
    <w:basedOn w:val="1"/>
    <w:link w:val="48"/>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8">
    <w:name w:val="aSTL正文 Char"/>
    <w:link w:val="47"/>
    <w:qFormat/>
    <w:uiPriority w:val="0"/>
    <w:rPr>
      <w:rFonts w:ascii="Calibri" w:hAnsi="Calibri" w:eastAsia="宋体" w:cs="Times New Roman"/>
      <w:kern w:val="0"/>
      <w:sz w:val="24"/>
      <w:szCs w:val="20"/>
      <w:lang w:val="zh-CN" w:eastAsia="zh-CN"/>
    </w:rPr>
  </w:style>
  <w:style w:type="paragraph" w:customStyle="1" w:styleId="49">
    <w:name w:val="4.1.1.1.1"/>
    <w:basedOn w:val="1"/>
    <w:link w:val="50"/>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0">
    <w:name w:val="4.1.1.1.1 Char"/>
    <w:link w:val="49"/>
    <w:qFormat/>
    <w:uiPriority w:val="0"/>
    <w:rPr>
      <w:rFonts w:ascii="宋体" w:hAnsi="宋体" w:eastAsia="宋体" w:cs="Times New Roman"/>
      <w:b/>
      <w:color w:val="000000"/>
      <w:kern w:val="0"/>
      <w:sz w:val="24"/>
      <w:szCs w:val="24"/>
      <w:lang w:val="zh-CN" w:eastAsia="zh-CN"/>
    </w:rPr>
  </w:style>
  <w:style w:type="paragraph" w:styleId="51">
    <w:name w:val="List Paragraph"/>
    <w:basedOn w:val="1"/>
    <w:qFormat/>
    <w:uiPriority w:val="34"/>
    <w:pPr>
      <w:ind w:firstLine="420" w:firstLineChars="200"/>
    </w:pPr>
    <w:rPr>
      <w:rFonts w:ascii="Calibri" w:hAnsi="Calibri" w:eastAsia="宋体" w:cs="Times New Roman"/>
    </w:rPr>
  </w:style>
  <w:style w:type="character" w:customStyle="1" w:styleId="52">
    <w:name w:val="批注文字 字符"/>
    <w:basedOn w:val="40"/>
    <w:link w:val="15"/>
    <w:qFormat/>
    <w:uiPriority w:val="99"/>
  </w:style>
  <w:style w:type="character" w:customStyle="1" w:styleId="53">
    <w:name w:val="批注主题 字符"/>
    <w:basedOn w:val="52"/>
    <w:link w:val="37"/>
    <w:qFormat/>
    <w:uiPriority w:val="99"/>
    <w:rPr>
      <w:b/>
      <w:bCs/>
    </w:rPr>
  </w:style>
  <w:style w:type="character" w:customStyle="1" w:styleId="54">
    <w:name w:val="批注框文本 字符"/>
    <w:basedOn w:val="40"/>
    <w:link w:val="26"/>
    <w:qFormat/>
    <w:uiPriority w:val="99"/>
    <w:rPr>
      <w:sz w:val="18"/>
      <w:szCs w:val="18"/>
    </w:rPr>
  </w:style>
  <w:style w:type="character" w:customStyle="1" w:styleId="55">
    <w:name w:val="标题 1 字符"/>
    <w:basedOn w:val="40"/>
    <w:link w:val="2"/>
    <w:qFormat/>
    <w:uiPriority w:val="99"/>
    <w:rPr>
      <w:b/>
      <w:bCs/>
      <w:kern w:val="44"/>
      <w:sz w:val="44"/>
      <w:szCs w:val="44"/>
    </w:rPr>
  </w:style>
  <w:style w:type="paragraph" w:customStyle="1" w:styleId="5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7">
    <w:name w:val="标题 2 字符"/>
    <w:basedOn w:val="40"/>
    <w:link w:val="3"/>
    <w:qFormat/>
    <w:uiPriority w:val="0"/>
    <w:rPr>
      <w:rFonts w:asciiTheme="majorHAnsi" w:hAnsiTheme="majorHAnsi" w:eastAsiaTheme="majorEastAsia" w:cstheme="majorBidi"/>
      <w:b/>
      <w:bCs/>
      <w:sz w:val="32"/>
      <w:szCs w:val="32"/>
    </w:rPr>
  </w:style>
  <w:style w:type="character" w:customStyle="1" w:styleId="58">
    <w:name w:val="标题 3 字符"/>
    <w:basedOn w:val="40"/>
    <w:link w:val="4"/>
    <w:qFormat/>
    <w:uiPriority w:val="9"/>
    <w:rPr>
      <w:rFonts w:ascii="Calibri" w:hAnsi="Calibri" w:eastAsia="宋体" w:cs="Times New Roman"/>
      <w:b/>
      <w:bCs/>
      <w:szCs w:val="32"/>
    </w:rPr>
  </w:style>
  <w:style w:type="character" w:customStyle="1" w:styleId="59">
    <w:name w:val="标题 4 字符"/>
    <w:basedOn w:val="40"/>
    <w:link w:val="5"/>
    <w:qFormat/>
    <w:uiPriority w:val="9"/>
    <w:rPr>
      <w:rFonts w:ascii="Cambria" w:hAnsi="Cambria" w:eastAsia="宋体" w:cs="Times New Roman"/>
      <w:b/>
      <w:bCs/>
      <w:szCs w:val="28"/>
    </w:rPr>
  </w:style>
  <w:style w:type="character" w:customStyle="1" w:styleId="60">
    <w:name w:val="标题 5 字符"/>
    <w:basedOn w:val="40"/>
    <w:link w:val="6"/>
    <w:qFormat/>
    <w:uiPriority w:val="9"/>
    <w:rPr>
      <w:rFonts w:ascii="Calibri" w:hAnsi="Calibri" w:eastAsia="宋体" w:cs="Times New Roman"/>
      <w:b/>
      <w:bCs/>
      <w:szCs w:val="28"/>
    </w:rPr>
  </w:style>
  <w:style w:type="character" w:customStyle="1" w:styleId="61">
    <w:name w:val="标题 6 字符"/>
    <w:basedOn w:val="40"/>
    <w:link w:val="7"/>
    <w:qFormat/>
    <w:uiPriority w:val="9"/>
    <w:rPr>
      <w:rFonts w:eastAsia="宋体" w:asciiTheme="majorHAnsi" w:hAnsiTheme="majorHAnsi" w:cstheme="majorBidi"/>
      <w:b/>
      <w:bCs/>
      <w:kern w:val="0"/>
      <w:szCs w:val="24"/>
    </w:rPr>
  </w:style>
  <w:style w:type="character" w:customStyle="1" w:styleId="62">
    <w:name w:val="标题 7 字符"/>
    <w:basedOn w:val="40"/>
    <w:link w:val="8"/>
    <w:qFormat/>
    <w:uiPriority w:val="9"/>
    <w:rPr>
      <w:rFonts w:ascii="宋体" w:hAnsi="宋体" w:eastAsia="宋体" w:cs="宋体"/>
      <w:b/>
      <w:bCs/>
      <w:kern w:val="0"/>
      <w:sz w:val="24"/>
      <w:szCs w:val="24"/>
    </w:rPr>
  </w:style>
  <w:style w:type="character" w:customStyle="1" w:styleId="63">
    <w:name w:val="称呼 字符"/>
    <w:basedOn w:val="40"/>
    <w:link w:val="16"/>
    <w:qFormat/>
    <w:uiPriority w:val="99"/>
    <w:rPr>
      <w:rFonts w:ascii="Times New Roman" w:hAnsi="Times New Roman" w:eastAsia="宋体" w:cs="Times New Roman"/>
      <w:szCs w:val="21"/>
    </w:rPr>
  </w:style>
  <w:style w:type="character" w:customStyle="1" w:styleId="64">
    <w:name w:val="notnullcss1"/>
    <w:basedOn w:val="40"/>
    <w:qFormat/>
    <w:uiPriority w:val="99"/>
    <w:rPr>
      <w:rFonts w:eastAsia="宋体" w:cs="Times New Roman"/>
      <w:color w:val="FF0000"/>
      <w:kern w:val="2"/>
      <w:sz w:val="24"/>
      <w:szCs w:val="24"/>
      <w:lang w:val="en-US" w:eastAsia="zh-CN" w:bidi="ar-SA"/>
    </w:rPr>
  </w:style>
  <w:style w:type="paragraph" w:customStyle="1" w:styleId="65">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6">
    <w:name w:val="纯文本 字符"/>
    <w:basedOn w:val="40"/>
    <w:link w:val="22"/>
    <w:qFormat/>
    <w:uiPriority w:val="0"/>
    <w:rPr>
      <w:rFonts w:ascii="宋体" w:hAnsi="Courier New" w:eastAsia="宋体" w:cs="Times New Roman"/>
      <w:szCs w:val="20"/>
    </w:rPr>
  </w:style>
  <w:style w:type="character" w:customStyle="1" w:styleId="67">
    <w:name w:val="headline-content2"/>
    <w:basedOn w:val="40"/>
    <w:qFormat/>
    <w:uiPriority w:val="0"/>
    <w:rPr>
      <w:rFonts w:eastAsia="宋体" w:cs="Times New Roman"/>
      <w:kern w:val="2"/>
      <w:sz w:val="24"/>
      <w:szCs w:val="24"/>
      <w:lang w:val="en-US" w:eastAsia="zh-CN" w:bidi="ar-SA"/>
    </w:rPr>
  </w:style>
  <w:style w:type="character" w:customStyle="1" w:styleId="68">
    <w:name w:val="正文文本 字符"/>
    <w:basedOn w:val="40"/>
    <w:link w:val="18"/>
    <w:qFormat/>
    <w:uiPriority w:val="99"/>
    <w:rPr>
      <w:rFonts w:ascii="Times New Roman" w:hAnsi="Times New Roman" w:eastAsia="宋体" w:cs="Times New Roman"/>
      <w:szCs w:val="21"/>
    </w:rPr>
  </w:style>
  <w:style w:type="paragraph" w:customStyle="1" w:styleId="69">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0">
    <w:name w:val="日期 字符"/>
    <w:basedOn w:val="40"/>
    <w:link w:val="24"/>
    <w:qFormat/>
    <w:uiPriority w:val="99"/>
    <w:rPr>
      <w:rFonts w:ascii="Times New Roman" w:hAnsi="Times New Roman" w:eastAsia="宋体" w:cs="Times New Roman"/>
      <w:szCs w:val="21"/>
    </w:rPr>
  </w:style>
  <w:style w:type="character" w:customStyle="1" w:styleId="71">
    <w:name w:val="注释标题 字符"/>
    <w:basedOn w:val="40"/>
    <w:link w:val="10"/>
    <w:qFormat/>
    <w:uiPriority w:val="99"/>
    <w:rPr>
      <w:rFonts w:ascii="Times New Roman" w:hAnsi="Times New Roman" w:eastAsia="宋体" w:cs="Times New Roman"/>
      <w:szCs w:val="21"/>
    </w:rPr>
  </w:style>
  <w:style w:type="paragraph" w:customStyle="1" w:styleId="72">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 w:type="character" w:customStyle="1" w:styleId="74">
    <w:name w:val="正文的样式 Char"/>
    <w:basedOn w:val="40"/>
    <w:link w:val="75"/>
    <w:qFormat/>
    <w:uiPriority w:val="0"/>
    <w:rPr>
      <w:szCs w:val="24"/>
    </w:rPr>
  </w:style>
  <w:style w:type="paragraph" w:customStyle="1" w:styleId="75">
    <w:name w:val="正文的样式"/>
    <w:basedOn w:val="1"/>
    <w:link w:val="74"/>
    <w:qFormat/>
    <w:uiPriority w:val="0"/>
    <w:pPr>
      <w:spacing w:before="100" w:after="100"/>
    </w:pPr>
    <w:rPr>
      <w:szCs w:val="24"/>
    </w:rPr>
  </w:style>
  <w:style w:type="character" w:customStyle="1" w:styleId="76">
    <w:name w:val="文档结构图 字符"/>
    <w:basedOn w:val="40"/>
    <w:link w:val="13"/>
    <w:semiHidden/>
    <w:qFormat/>
    <w:uiPriority w:val="99"/>
    <w:rPr>
      <w:rFonts w:ascii="宋体" w:hAnsi="Calibri" w:eastAsia="宋体" w:cs="Times New Roman"/>
      <w:sz w:val="18"/>
      <w:szCs w:val="18"/>
    </w:rPr>
  </w:style>
  <w:style w:type="character" w:styleId="77">
    <w:name w:val="Placeholder Text"/>
    <w:basedOn w:val="40"/>
    <w:semiHidden/>
    <w:qFormat/>
    <w:uiPriority w:val="99"/>
    <w:rPr>
      <w:color w:val="auto"/>
    </w:rPr>
  </w:style>
  <w:style w:type="character" w:customStyle="1" w:styleId="78">
    <w:name w:val="标题 字符"/>
    <w:basedOn w:val="40"/>
    <w:link w:val="36"/>
    <w:qFormat/>
    <w:uiPriority w:val="0"/>
    <w:rPr>
      <w:rFonts w:eastAsia="宋体" w:asciiTheme="majorHAnsi" w:hAnsiTheme="majorHAnsi" w:cstheme="majorBidi"/>
      <w:b/>
      <w:bCs/>
      <w:sz w:val="32"/>
      <w:szCs w:val="32"/>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字符"/>
    <w:basedOn w:val="40"/>
    <w:link w:val="25"/>
    <w:semiHidden/>
    <w:qFormat/>
    <w:uiPriority w:val="99"/>
    <w:rPr>
      <w:rFonts w:ascii="宋体" w:hAnsi="宋体" w:eastAsia="宋体" w:cs="宋体"/>
      <w:kern w:val="0"/>
      <w:szCs w:val="24"/>
    </w:rPr>
  </w:style>
  <w:style w:type="character" w:customStyle="1" w:styleId="81">
    <w:name w:val="批注主题 Char1"/>
    <w:basedOn w:val="52"/>
    <w:semiHidden/>
    <w:qFormat/>
    <w:uiPriority w:val="99"/>
    <w:rPr>
      <w:rFonts w:ascii="Times New Roman" w:hAnsi="Times New Roman" w:eastAsia="宋体" w:cs="Times New Roman"/>
      <w:b/>
      <w:bCs/>
      <w:szCs w:val="21"/>
    </w:rPr>
  </w:style>
  <w:style w:type="character" w:customStyle="1" w:styleId="82">
    <w:name w:val="span_"/>
    <w:basedOn w:val="40"/>
    <w:qFormat/>
    <w:uiPriority w:val="0"/>
  </w:style>
  <w:style w:type="paragraph" w:customStyle="1" w:styleId="83">
    <w:name w:val="标题  3"/>
    <w:basedOn w:val="1"/>
    <w:next w:val="1"/>
    <w:link w:val="84"/>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4">
    <w:name w:val="标题  3 Char"/>
    <w:basedOn w:val="40"/>
    <w:link w:val="83"/>
    <w:qFormat/>
    <w:uiPriority w:val="0"/>
    <w:rPr>
      <w:rFonts w:ascii="Times New Roman" w:hAnsi="Times New Roman" w:eastAsia="宋体" w:cs="Times New Roman"/>
      <w:b/>
      <w:szCs w:val="24"/>
    </w:rPr>
  </w:style>
  <w:style w:type="paragraph" w:customStyle="1" w:styleId="85">
    <w:name w:val="列出段落1"/>
    <w:basedOn w:val="1"/>
    <w:qFormat/>
    <w:uiPriority w:val="0"/>
    <w:pPr>
      <w:ind w:firstLine="420" w:firstLineChars="200"/>
    </w:pPr>
    <w:rPr>
      <w:rFonts w:ascii="Calibri" w:hAnsi="Calibri" w:eastAsia="宋体" w:cs="Calibri"/>
      <w:szCs w:val="21"/>
    </w:rPr>
  </w:style>
  <w:style w:type="paragraph" w:customStyle="1" w:styleId="86">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8">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0">
    <w:name w:val="前言标题"/>
    <w:basedOn w:val="3"/>
    <w:link w:val="92"/>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1">
    <w:name w:val="前言大标题"/>
    <w:basedOn w:val="2"/>
    <w:link w:val="93"/>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2">
    <w:name w:val="前言标题 Char"/>
    <w:basedOn w:val="40"/>
    <w:link w:val="90"/>
    <w:qFormat/>
    <w:uiPriority w:val="0"/>
    <w:rPr>
      <w:rFonts w:eastAsia="黑体"/>
      <w:bCs/>
      <w:kern w:val="2"/>
      <w:sz w:val="21"/>
      <w:szCs w:val="32"/>
    </w:rPr>
  </w:style>
  <w:style w:type="character" w:customStyle="1" w:styleId="93">
    <w:name w:val="前言大标题 Char"/>
    <w:link w:val="91"/>
    <w:qFormat/>
    <w:uiPriority w:val="0"/>
    <w:rPr>
      <w:rFonts w:eastAsia="黑体"/>
      <w:bCs/>
      <w:kern w:val="44"/>
      <w:sz w:val="32"/>
      <w:szCs w:val="44"/>
    </w:rPr>
  </w:style>
  <w:style w:type="paragraph" w:customStyle="1" w:styleId="94">
    <w:name w:val="Char Char Char Char Char Char Char Char Char Char Char Char Char"/>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1C0973C3-F602-4F54-9450-3FE38B77D930}">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812</Words>
  <Characters>4634</Characters>
  <Lines>38</Lines>
  <Paragraphs>10</Paragraphs>
  <TotalTime>1</TotalTime>
  <ScaleCrop>false</ScaleCrop>
  <LinksUpToDate>false</LinksUpToDate>
  <CharactersWithSpaces>5436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2019-11-19T12:21:00Z</dcterms:created>
  <dc:creator>Meng Tang</dc:creator>
  <cp:lastModifiedBy>半步天涯</cp:lastModifiedBy>
  <dcterms:modified xsi:type="dcterms:W3CDTF">2020-10-26T12:17:51Z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