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仿宋" w:hAnsi="仿宋" w:eastAsia="仿宋" w:cs="Times New Roman"/>
          <w:b/>
          <w:color w:val="000000"/>
          <w:w w:val="80"/>
          <w:sz w:val="72"/>
          <w:szCs w:val="72"/>
        </w:rPr>
      </w:pPr>
      <w:bookmarkStart w:id="0" w:name="_Hlk24613880"/>
    </w:p>
    <w:p>
      <w:pPr>
        <w:spacing w:line="276" w:lineRule="auto"/>
        <w:jc w:val="center"/>
        <w:rPr>
          <w:rFonts w:ascii="仿宋" w:hAnsi="仿宋" w:eastAsia="仿宋" w:cs="Times New Roman"/>
          <w:b/>
          <w:color w:val="000000"/>
          <w:w w:val="80"/>
          <w:sz w:val="72"/>
          <w:szCs w:val="72"/>
        </w:rPr>
      </w:pPr>
    </w:p>
    <w:p>
      <w:pPr>
        <w:spacing w:line="276" w:lineRule="auto"/>
        <w:jc w:val="center"/>
        <w:rPr>
          <w:rFonts w:ascii="仿宋" w:hAnsi="仿宋" w:eastAsia="仿宋" w:cs="Times New Roman"/>
          <w:b/>
          <w:color w:val="000000"/>
          <w:w w:val="80"/>
          <w:sz w:val="64"/>
          <w:szCs w:val="64"/>
        </w:rPr>
      </w:pPr>
      <w:r>
        <w:rPr>
          <w:rFonts w:hint="eastAsia" w:ascii="仿宋" w:hAnsi="仿宋" w:eastAsia="仿宋" w:cs="Times New Roman"/>
          <w:b/>
          <w:color w:val="000000"/>
          <w:w w:val="80"/>
          <w:sz w:val="64"/>
          <w:szCs w:val="64"/>
        </w:rPr>
        <w:t>浙江佰利眼镜有限公司</w:t>
      </w:r>
    </w:p>
    <w:p>
      <w:pPr>
        <w:spacing w:line="276" w:lineRule="auto"/>
        <w:jc w:val="center"/>
        <w:rPr>
          <w:rFonts w:ascii="宋体" w:hAnsi="宋体" w:eastAsia="宋体" w:cs="宋体"/>
          <w:b/>
          <w:sz w:val="52"/>
          <w:szCs w:val="52"/>
        </w:rPr>
      </w:pPr>
      <w:r>
        <w:rPr>
          <w:rFonts w:hint="eastAsia" w:ascii="宋体" w:hAnsi="宋体" w:eastAsia="宋体" w:cs="宋体"/>
          <w:b/>
          <w:sz w:val="52"/>
          <w:szCs w:val="52"/>
        </w:rPr>
        <w:t xml:space="preserve"> </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质</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量</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诚</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信</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报</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告</w:t>
      </w:r>
    </w:p>
    <w:p>
      <w:pPr>
        <w:spacing w:line="276" w:lineRule="auto"/>
        <w:ind w:firstLine="3900" w:firstLineChars="750"/>
        <w:rPr>
          <w:rFonts w:ascii="宋体" w:hAnsi="宋体" w:eastAsia="宋体" w:cs="宋体"/>
          <w:sz w:val="52"/>
          <w:szCs w:val="52"/>
        </w:rPr>
      </w:pPr>
    </w:p>
    <w:p>
      <w:pPr>
        <w:spacing w:line="276" w:lineRule="auto"/>
        <w:ind w:firstLine="3900" w:firstLineChars="750"/>
        <w:rPr>
          <w:rFonts w:ascii="宋体" w:hAnsi="宋体" w:eastAsia="宋体" w:cs="宋体"/>
          <w:sz w:val="52"/>
          <w:szCs w:val="52"/>
        </w:rPr>
      </w:pPr>
    </w:p>
    <w:p>
      <w:pPr>
        <w:spacing w:before="40" w:after="40" w:line="276" w:lineRule="auto"/>
        <w:jc w:val="center"/>
        <w:rPr>
          <w:rFonts w:ascii="宋体" w:hAnsi="宋体" w:eastAsia="宋体" w:cs="宋体"/>
          <w:sz w:val="36"/>
          <w:szCs w:val="36"/>
        </w:rPr>
      </w:pPr>
      <w:r>
        <w:rPr>
          <w:rFonts w:hint="eastAsia" w:ascii="宋体" w:hAnsi="宋体" w:eastAsia="宋体" w:cs="宋体"/>
          <w:sz w:val="36"/>
          <w:szCs w:val="36"/>
        </w:rPr>
        <w:t>报告日期：</w:t>
      </w:r>
      <w:r>
        <w:rPr>
          <w:rFonts w:ascii="宋体" w:hAnsi="宋体" w:eastAsia="宋体" w:cs="宋体"/>
          <w:sz w:val="36"/>
          <w:szCs w:val="36"/>
        </w:rPr>
        <w:t>20</w:t>
      </w:r>
      <w:r>
        <w:rPr>
          <w:rFonts w:hint="eastAsia" w:ascii="宋体" w:hAnsi="宋体" w:eastAsia="宋体" w:cs="宋体"/>
          <w:sz w:val="36"/>
          <w:szCs w:val="36"/>
        </w:rPr>
        <w:t>20年7月</w:t>
      </w:r>
    </w:p>
    <w:bookmarkEnd w:id="0"/>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sdt>
      <w:sdtPr>
        <w:rPr>
          <w:rFonts w:ascii="宋体" w:hAnsi="宋体" w:eastAsia="宋体"/>
          <w:b/>
          <w:bCs/>
          <w:sz w:val="36"/>
          <w:szCs w:val="36"/>
        </w:rPr>
        <w:id w:val="147479737"/>
        <w:docPartObj>
          <w:docPartGallery w:val="Table of Contents"/>
          <w:docPartUnique/>
        </w:docPartObj>
      </w:sdtPr>
      <w:sdtEndPr>
        <w:rPr>
          <w:rFonts w:ascii="宋体" w:hAnsi="宋体" w:eastAsia="宋体" w:cs="宋体"/>
          <w:b/>
          <w:bCs/>
          <w:sz w:val="21"/>
          <w:szCs w:val="36"/>
        </w:rPr>
      </w:sdtEndPr>
      <w:sdtContent>
        <w:p>
          <w:pPr>
            <w:jc w:val="center"/>
            <w:rPr>
              <w:b/>
              <w:bCs/>
              <w:sz w:val="36"/>
              <w:szCs w:val="36"/>
            </w:rPr>
          </w:pPr>
          <w:r>
            <w:rPr>
              <w:rFonts w:ascii="宋体" w:hAnsi="宋体" w:eastAsia="宋体"/>
              <w:b/>
              <w:bCs/>
              <w:sz w:val="36"/>
              <w:szCs w:val="36"/>
            </w:rPr>
            <w:t>目录</w:t>
          </w:r>
        </w:p>
        <w:p>
          <w:pPr>
            <w:pStyle w:val="29"/>
            <w:tabs>
              <w:tab w:val="right" w:leader="dot" w:pos="8306"/>
            </w:tabs>
            <w:spacing w:line="360" w:lineRule="auto"/>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TOC \o "1-2" \h \u </w:instrText>
          </w:r>
          <w:r>
            <w:rPr>
              <w:rFonts w:ascii="宋体" w:hAnsi="宋体" w:eastAsia="宋体" w:cs="宋体"/>
              <w:sz w:val="24"/>
              <w:szCs w:val="24"/>
            </w:rPr>
            <w:fldChar w:fldCharType="separate"/>
          </w:r>
          <w:r>
            <w:fldChar w:fldCharType="begin"/>
          </w:r>
          <w:r>
            <w:instrText xml:space="preserve"> HYPERLINK \l "_Toc16600" </w:instrText>
          </w:r>
          <w:r>
            <w:fldChar w:fldCharType="separate"/>
          </w:r>
          <w:r>
            <w:rPr>
              <w:rFonts w:hint="eastAsia" w:cs="Times New Roman" w:asciiTheme="minorEastAsia" w:hAnsiTheme="minorEastAsia"/>
              <w:kern w:val="0"/>
              <w:sz w:val="24"/>
              <w:szCs w:val="24"/>
            </w:rPr>
            <w:t>一、前  言</w:t>
          </w:r>
          <w:r>
            <w:rPr>
              <w:sz w:val="24"/>
              <w:szCs w:val="24"/>
            </w:rPr>
            <w:tab/>
          </w:r>
          <w:r>
            <w:rPr>
              <w:sz w:val="24"/>
              <w:szCs w:val="24"/>
            </w:rPr>
            <w:fldChar w:fldCharType="begin"/>
          </w:r>
          <w:r>
            <w:rPr>
              <w:sz w:val="24"/>
              <w:szCs w:val="24"/>
            </w:rPr>
            <w:instrText xml:space="preserve"> PAGEREF _Toc16600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"_Toc18094" </w:instrText>
          </w:r>
          <w:r>
            <w:fldChar w:fldCharType="separate"/>
          </w:r>
          <w:r>
            <w:rPr>
              <w:rFonts w:hint="eastAsia" w:cs="Times New Roman" w:asciiTheme="minorEastAsia" w:hAnsiTheme="minorEastAsia"/>
              <w:kern w:val="0"/>
              <w:sz w:val="24"/>
              <w:szCs w:val="24"/>
            </w:rPr>
            <w:t>（一）编制说明</w:t>
          </w:r>
          <w:r>
            <w:rPr>
              <w:sz w:val="24"/>
              <w:szCs w:val="24"/>
            </w:rPr>
            <w:tab/>
          </w:r>
          <w:r>
            <w:rPr>
              <w:sz w:val="24"/>
              <w:szCs w:val="24"/>
            </w:rPr>
            <w:fldChar w:fldCharType="begin"/>
          </w:r>
          <w:r>
            <w:rPr>
              <w:sz w:val="24"/>
              <w:szCs w:val="24"/>
            </w:rPr>
            <w:instrText xml:space="preserve"> PAGEREF _Toc18094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"_Toc13821" </w:instrText>
          </w:r>
          <w:r>
            <w:fldChar w:fldCharType="separate"/>
          </w:r>
          <w:r>
            <w:rPr>
              <w:rFonts w:hint="eastAsia" w:cs="Times New Roman" w:asciiTheme="minorEastAsia" w:hAnsiTheme="minorEastAsia"/>
              <w:kern w:val="0"/>
              <w:sz w:val="24"/>
              <w:szCs w:val="24"/>
            </w:rPr>
            <w:t>（二）总经理致辞</w:t>
          </w:r>
          <w:r>
            <w:rPr>
              <w:sz w:val="24"/>
              <w:szCs w:val="24"/>
            </w:rPr>
            <w:tab/>
          </w:r>
          <w:r>
            <w:rPr>
              <w:sz w:val="24"/>
              <w:szCs w:val="24"/>
            </w:rPr>
            <w:fldChar w:fldCharType="begin"/>
          </w:r>
          <w:r>
            <w:rPr>
              <w:sz w:val="24"/>
              <w:szCs w:val="24"/>
            </w:rPr>
            <w:instrText xml:space="preserve"> PAGEREF _Toc13821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"_Toc13647" </w:instrText>
          </w:r>
          <w:r>
            <w:fldChar w:fldCharType="separate"/>
          </w:r>
          <w:r>
            <w:rPr>
              <w:rFonts w:hint="eastAsia" w:cs="Times New Roman" w:asciiTheme="minorEastAsia" w:hAnsiTheme="minorEastAsia"/>
              <w:kern w:val="0"/>
              <w:sz w:val="24"/>
              <w:szCs w:val="24"/>
            </w:rPr>
            <w:t>（三）公司简介</w:t>
          </w:r>
          <w:r>
            <w:rPr>
              <w:sz w:val="24"/>
              <w:szCs w:val="24"/>
            </w:rPr>
            <w:tab/>
          </w:r>
          <w:r>
            <w:rPr>
              <w:sz w:val="24"/>
              <w:szCs w:val="24"/>
            </w:rPr>
            <w:fldChar w:fldCharType="begin"/>
          </w:r>
          <w:r>
            <w:rPr>
              <w:sz w:val="24"/>
              <w:szCs w:val="24"/>
            </w:rPr>
            <w:instrText xml:space="preserve"> PAGEREF _Toc13647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9"/>
            <w:tabs>
              <w:tab w:val="right" w:leader="dot" w:pos="8306"/>
            </w:tabs>
            <w:spacing w:line="360" w:lineRule="auto"/>
            <w:rPr>
              <w:sz w:val="24"/>
              <w:szCs w:val="24"/>
            </w:rPr>
          </w:pPr>
          <w:r>
            <w:fldChar w:fldCharType="begin"/>
          </w:r>
          <w:r>
            <w:instrText xml:space="preserve"> HYPERLINK \l "_Toc8329" </w:instrText>
          </w:r>
          <w:r>
            <w:fldChar w:fldCharType="separate"/>
          </w:r>
          <w:r>
            <w:rPr>
              <w:rFonts w:hint="eastAsia" w:cs="Times New Roman" w:asciiTheme="minorEastAsia" w:hAnsiTheme="minorEastAsia"/>
              <w:kern w:val="0"/>
              <w:sz w:val="24"/>
              <w:szCs w:val="24"/>
            </w:rPr>
            <w:t>二、企业质量管理</w:t>
          </w:r>
          <w:r>
            <w:rPr>
              <w:sz w:val="24"/>
              <w:szCs w:val="24"/>
            </w:rPr>
            <w:tab/>
          </w:r>
          <w:r>
            <w:rPr>
              <w:sz w:val="24"/>
              <w:szCs w:val="24"/>
            </w:rPr>
            <w:fldChar w:fldCharType="begin"/>
          </w:r>
          <w:r>
            <w:rPr>
              <w:sz w:val="24"/>
              <w:szCs w:val="24"/>
            </w:rPr>
            <w:instrText xml:space="preserve"> PAGEREF _Toc8329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"_Toc28792" </w:instrText>
          </w:r>
          <w:r>
            <w:fldChar w:fldCharType="separate"/>
          </w:r>
          <w:r>
            <w:rPr>
              <w:rFonts w:hint="eastAsia" w:cs="Times New Roman" w:asciiTheme="minorEastAsia" w:hAnsiTheme="minorEastAsia"/>
              <w:kern w:val="0"/>
              <w:sz w:val="24"/>
              <w:szCs w:val="24"/>
            </w:rPr>
            <w:t>（一）企业质量理念</w:t>
          </w:r>
          <w:r>
            <w:rPr>
              <w:sz w:val="24"/>
              <w:szCs w:val="24"/>
            </w:rPr>
            <w:tab/>
          </w:r>
          <w:r>
            <w:rPr>
              <w:sz w:val="24"/>
              <w:szCs w:val="24"/>
            </w:rPr>
            <w:fldChar w:fldCharType="begin"/>
          </w:r>
          <w:r>
            <w:rPr>
              <w:sz w:val="24"/>
              <w:szCs w:val="24"/>
            </w:rPr>
            <w:instrText xml:space="preserve"> PAGEREF _Toc28792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"_Toc9290" </w:instrText>
          </w:r>
          <w:r>
            <w:fldChar w:fldCharType="separate"/>
          </w:r>
          <w:r>
            <w:rPr>
              <w:rFonts w:hint="eastAsia" w:cs="Times New Roman" w:asciiTheme="minorEastAsia" w:hAnsiTheme="minorEastAsia"/>
              <w:kern w:val="0"/>
              <w:sz w:val="24"/>
              <w:szCs w:val="24"/>
            </w:rPr>
            <w:t>（二）质量管理机构</w:t>
          </w:r>
          <w:r>
            <w:rPr>
              <w:sz w:val="24"/>
              <w:szCs w:val="24"/>
            </w:rPr>
            <w:tab/>
          </w:r>
          <w:r>
            <w:rPr>
              <w:sz w:val="24"/>
              <w:szCs w:val="24"/>
            </w:rPr>
            <w:fldChar w:fldCharType="begin"/>
          </w:r>
          <w:r>
            <w:rPr>
              <w:sz w:val="24"/>
              <w:szCs w:val="24"/>
            </w:rPr>
            <w:instrText xml:space="preserve"> PAGEREF _Toc9290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"_Toc21673" </w:instrText>
          </w:r>
          <w:r>
            <w:fldChar w:fldCharType="separate"/>
          </w:r>
          <w:r>
            <w:rPr>
              <w:rFonts w:hint="eastAsia" w:cs="Times New Roman" w:asciiTheme="minorEastAsia" w:hAnsiTheme="minorEastAsia"/>
              <w:kern w:val="0"/>
              <w:sz w:val="24"/>
              <w:szCs w:val="24"/>
            </w:rPr>
            <w:t>（三）质量管理体系</w:t>
          </w:r>
          <w:r>
            <w:rPr>
              <w:sz w:val="24"/>
              <w:szCs w:val="24"/>
            </w:rPr>
            <w:tab/>
          </w:r>
          <w:r>
            <w:rPr>
              <w:sz w:val="24"/>
              <w:szCs w:val="24"/>
            </w:rPr>
            <w:fldChar w:fldCharType="begin"/>
          </w:r>
          <w:r>
            <w:rPr>
              <w:sz w:val="24"/>
              <w:szCs w:val="24"/>
            </w:rPr>
            <w:instrText xml:space="preserve"> PAGEREF _Toc21673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"_Toc31735" </w:instrText>
          </w:r>
          <w:r>
            <w:fldChar w:fldCharType="separate"/>
          </w:r>
          <w:r>
            <w:rPr>
              <w:rFonts w:hint="eastAsia" w:cs="Times New Roman" w:asciiTheme="minorEastAsia" w:hAnsiTheme="minorEastAsia"/>
              <w:kern w:val="0"/>
              <w:sz w:val="24"/>
              <w:szCs w:val="24"/>
            </w:rPr>
            <w:t>（四）质量诚信管理</w:t>
          </w:r>
          <w:r>
            <w:rPr>
              <w:sz w:val="24"/>
              <w:szCs w:val="24"/>
            </w:rPr>
            <w:tab/>
          </w:r>
          <w:r>
            <w:rPr>
              <w:sz w:val="24"/>
              <w:szCs w:val="24"/>
            </w:rPr>
            <w:fldChar w:fldCharType="begin"/>
          </w:r>
          <w:r>
            <w:rPr>
              <w:sz w:val="24"/>
              <w:szCs w:val="24"/>
            </w:rPr>
            <w:instrText xml:space="preserve"> PAGEREF _Toc31735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"_Toc18678" </w:instrText>
          </w:r>
          <w:r>
            <w:fldChar w:fldCharType="separate"/>
          </w:r>
          <w:r>
            <w:rPr>
              <w:rFonts w:hint="eastAsia" w:cs="Times New Roman" w:asciiTheme="minorEastAsia" w:hAnsiTheme="minorEastAsia"/>
              <w:kern w:val="0"/>
              <w:sz w:val="24"/>
              <w:szCs w:val="24"/>
            </w:rPr>
            <w:t>（五）企业文化建设</w:t>
          </w:r>
          <w:r>
            <w:rPr>
              <w:sz w:val="24"/>
              <w:szCs w:val="24"/>
            </w:rPr>
            <w:tab/>
          </w:r>
          <w:r>
            <w:rPr>
              <w:sz w:val="24"/>
              <w:szCs w:val="24"/>
            </w:rPr>
            <w:fldChar w:fldCharType="begin"/>
          </w:r>
          <w:r>
            <w:rPr>
              <w:sz w:val="24"/>
              <w:szCs w:val="24"/>
            </w:rPr>
            <w:instrText xml:space="preserve"> PAGEREF _Toc18678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"_Toc5299" </w:instrText>
          </w:r>
          <w:r>
            <w:fldChar w:fldCharType="separate"/>
          </w:r>
          <w:r>
            <w:rPr>
              <w:rFonts w:hint="eastAsia" w:cs="Times New Roman" w:asciiTheme="minorEastAsia" w:hAnsiTheme="minorEastAsia"/>
              <w:kern w:val="0"/>
              <w:sz w:val="24"/>
              <w:szCs w:val="24"/>
            </w:rPr>
            <w:t>（六）企业技术水平</w:t>
          </w:r>
          <w:r>
            <w:rPr>
              <w:sz w:val="24"/>
              <w:szCs w:val="24"/>
            </w:rPr>
            <w:tab/>
          </w:r>
          <w:r>
            <w:rPr>
              <w:sz w:val="24"/>
              <w:szCs w:val="24"/>
            </w:rPr>
            <w:fldChar w:fldCharType="begin"/>
          </w:r>
          <w:r>
            <w:rPr>
              <w:sz w:val="24"/>
              <w:szCs w:val="24"/>
            </w:rPr>
            <w:instrText xml:space="preserve"> PAGEREF _Toc5299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"_Toc26372" </w:instrText>
          </w:r>
          <w:r>
            <w:fldChar w:fldCharType="separate"/>
          </w:r>
          <w:r>
            <w:rPr>
              <w:rFonts w:hint="eastAsia" w:cs="Times New Roman" w:asciiTheme="minorEastAsia" w:hAnsiTheme="minorEastAsia"/>
              <w:kern w:val="0"/>
              <w:sz w:val="24"/>
              <w:szCs w:val="24"/>
            </w:rPr>
            <w:t>（七）企业计量水平</w:t>
          </w:r>
          <w:r>
            <w:rPr>
              <w:sz w:val="24"/>
              <w:szCs w:val="24"/>
            </w:rPr>
            <w:tab/>
          </w:r>
          <w:r>
            <w:rPr>
              <w:sz w:val="24"/>
              <w:szCs w:val="24"/>
            </w:rPr>
            <w:fldChar w:fldCharType="begin"/>
          </w:r>
          <w:r>
            <w:rPr>
              <w:sz w:val="24"/>
              <w:szCs w:val="24"/>
            </w:rPr>
            <w:instrText xml:space="preserve"> PAGEREF _Toc26372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"_Toc9831" </w:instrText>
          </w:r>
          <w:r>
            <w:fldChar w:fldCharType="separate"/>
          </w:r>
          <w:r>
            <w:rPr>
              <w:rFonts w:hint="eastAsia" w:cs="Times New Roman" w:asciiTheme="minorEastAsia" w:hAnsiTheme="minorEastAsia"/>
              <w:kern w:val="0"/>
              <w:sz w:val="24"/>
              <w:szCs w:val="24"/>
            </w:rPr>
            <w:t>（八）认证认可情况</w:t>
          </w:r>
          <w:r>
            <w:rPr>
              <w:sz w:val="24"/>
              <w:szCs w:val="24"/>
            </w:rPr>
            <w:tab/>
          </w:r>
          <w:r>
            <w:rPr>
              <w:sz w:val="24"/>
              <w:szCs w:val="24"/>
            </w:rPr>
            <w:fldChar w:fldCharType="begin"/>
          </w:r>
          <w:r>
            <w:rPr>
              <w:sz w:val="24"/>
              <w:szCs w:val="24"/>
            </w:rPr>
            <w:instrText xml:space="preserve"> PAGEREF _Toc9831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"_Toc110" </w:instrText>
          </w:r>
          <w:r>
            <w:fldChar w:fldCharType="separate"/>
          </w:r>
          <w:r>
            <w:rPr>
              <w:rFonts w:hint="eastAsia" w:cs="Times New Roman" w:asciiTheme="minorEastAsia" w:hAnsiTheme="minorEastAsia"/>
              <w:kern w:val="0"/>
              <w:sz w:val="24"/>
              <w:szCs w:val="24"/>
            </w:rPr>
            <w:t>（九）产品质量承诺</w:t>
          </w:r>
          <w:r>
            <w:rPr>
              <w:sz w:val="24"/>
              <w:szCs w:val="24"/>
            </w:rPr>
            <w:tab/>
          </w:r>
          <w:r>
            <w:rPr>
              <w:sz w:val="24"/>
              <w:szCs w:val="24"/>
            </w:rPr>
            <w:fldChar w:fldCharType="begin"/>
          </w:r>
          <w:r>
            <w:rPr>
              <w:sz w:val="24"/>
              <w:szCs w:val="24"/>
            </w:rPr>
            <w:instrText xml:space="preserve"> PAGEREF _Toc110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"_Toc14390" </w:instrText>
          </w:r>
          <w:r>
            <w:fldChar w:fldCharType="separate"/>
          </w:r>
          <w:r>
            <w:rPr>
              <w:rFonts w:hint="eastAsia" w:cs="Times New Roman" w:asciiTheme="minorEastAsia" w:hAnsiTheme="minorEastAsia"/>
              <w:kern w:val="0"/>
              <w:sz w:val="24"/>
              <w:szCs w:val="24"/>
            </w:rPr>
            <w:t>（十）质量投诉处理</w:t>
          </w:r>
          <w:r>
            <w:rPr>
              <w:sz w:val="24"/>
              <w:szCs w:val="24"/>
            </w:rPr>
            <w:tab/>
          </w:r>
          <w:r>
            <w:rPr>
              <w:sz w:val="24"/>
              <w:szCs w:val="24"/>
            </w:rPr>
            <w:fldChar w:fldCharType="begin"/>
          </w:r>
          <w:r>
            <w:rPr>
              <w:sz w:val="24"/>
              <w:szCs w:val="24"/>
            </w:rPr>
            <w:instrText xml:space="preserve"> PAGEREF _Toc14390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"_Toc21494" </w:instrText>
          </w:r>
          <w:r>
            <w:fldChar w:fldCharType="separate"/>
          </w:r>
          <w:r>
            <w:rPr>
              <w:rFonts w:hint="eastAsia" w:cs="Times New Roman" w:asciiTheme="minorEastAsia" w:hAnsiTheme="minorEastAsia"/>
              <w:kern w:val="0"/>
              <w:sz w:val="24"/>
              <w:szCs w:val="24"/>
            </w:rPr>
            <w:t>（十一）质量风险监测</w:t>
          </w:r>
          <w:r>
            <w:rPr>
              <w:sz w:val="24"/>
              <w:szCs w:val="24"/>
            </w:rPr>
            <w:tab/>
          </w:r>
          <w:r>
            <w:rPr>
              <w:sz w:val="24"/>
              <w:szCs w:val="24"/>
            </w:rPr>
            <w:fldChar w:fldCharType="begin"/>
          </w:r>
          <w:r>
            <w:rPr>
              <w:sz w:val="24"/>
              <w:szCs w:val="24"/>
            </w:rPr>
            <w:instrText xml:space="preserve"> PAGEREF _Toc21494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9"/>
            <w:tabs>
              <w:tab w:val="right" w:leader="dot" w:pos="8306"/>
            </w:tabs>
            <w:spacing w:line="360" w:lineRule="auto"/>
            <w:rPr>
              <w:sz w:val="24"/>
              <w:szCs w:val="24"/>
            </w:rPr>
          </w:pPr>
          <w:r>
            <w:fldChar w:fldCharType="begin"/>
          </w:r>
          <w:r>
            <w:instrText xml:space="preserve"> HYPERLINK \l "_Toc14688" </w:instrText>
          </w:r>
          <w:r>
            <w:fldChar w:fldCharType="separate"/>
          </w:r>
          <w:r>
            <w:rPr>
              <w:rFonts w:hint="eastAsia" w:cs="Times New Roman" w:asciiTheme="minorEastAsia" w:hAnsiTheme="minorEastAsia"/>
              <w:kern w:val="0"/>
              <w:sz w:val="24"/>
              <w:szCs w:val="24"/>
            </w:rPr>
            <w:t>三、展望</w:t>
          </w:r>
          <w:r>
            <w:rPr>
              <w:sz w:val="24"/>
              <w:szCs w:val="24"/>
            </w:rPr>
            <w:tab/>
          </w:r>
          <w:r>
            <w:rPr>
              <w:sz w:val="24"/>
              <w:szCs w:val="24"/>
            </w:rPr>
            <w:fldChar w:fldCharType="begin"/>
          </w:r>
          <w:r>
            <w:rPr>
              <w:sz w:val="24"/>
              <w:szCs w:val="24"/>
            </w:rPr>
            <w:instrText xml:space="preserve"> PAGEREF _Toc14688 </w:instrText>
          </w:r>
          <w:r>
            <w:rPr>
              <w:sz w:val="24"/>
              <w:szCs w:val="24"/>
            </w:rPr>
            <w:fldChar w:fldCharType="separate"/>
          </w:r>
          <w:r>
            <w:rPr>
              <w:sz w:val="24"/>
              <w:szCs w:val="24"/>
            </w:rPr>
            <w:t>14</w:t>
          </w:r>
          <w:r>
            <w:rPr>
              <w:sz w:val="24"/>
              <w:szCs w:val="24"/>
            </w:rPr>
            <w:fldChar w:fldCharType="end"/>
          </w:r>
          <w:r>
            <w:rPr>
              <w:sz w:val="24"/>
              <w:szCs w:val="24"/>
            </w:rPr>
            <w:fldChar w:fldCharType="end"/>
          </w:r>
        </w:p>
        <w:p>
          <w:pPr>
            <w:spacing w:before="40" w:after="40" w:line="360" w:lineRule="auto"/>
            <w:jc w:val="center"/>
            <w:rPr>
              <w:rFonts w:ascii="宋体" w:hAnsi="宋体" w:eastAsia="宋体" w:cs="宋体"/>
              <w:szCs w:val="36"/>
            </w:rPr>
          </w:pPr>
          <w:r>
            <w:rPr>
              <w:rFonts w:ascii="宋体" w:hAnsi="宋体" w:eastAsia="宋体" w:cs="宋体"/>
              <w:sz w:val="24"/>
              <w:szCs w:val="24"/>
            </w:rPr>
            <w:fldChar w:fldCharType="end"/>
          </w:r>
        </w:p>
      </w:sdtContent>
    </w:sdt>
    <w:p>
      <w:pPr>
        <w:spacing w:line="360" w:lineRule="auto"/>
        <w:ind w:firstLine="480" w:firstLineChars="200"/>
        <w:rPr>
          <w:rFonts w:cs="Times New Roman" w:asciiTheme="minorEastAsia" w:hAnsiTheme="minorEastAsia"/>
          <w:kern w:val="0"/>
          <w:sz w:val="24"/>
          <w:szCs w:val="24"/>
        </w:rPr>
      </w:pPr>
      <w:bookmarkStart w:id="1" w:name="_Toc451594564"/>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outlineLvl w:val="0"/>
        <w:rPr>
          <w:rFonts w:cs="Times New Roman" w:asciiTheme="minorEastAsia" w:hAnsiTheme="minorEastAsia"/>
          <w:kern w:val="0"/>
          <w:sz w:val="24"/>
          <w:szCs w:val="24"/>
        </w:rPr>
      </w:pPr>
      <w:bookmarkStart w:id="2" w:name="_Toc16600"/>
      <w:r>
        <w:rPr>
          <w:rFonts w:hint="eastAsia" w:cs="Times New Roman" w:asciiTheme="minorEastAsia" w:hAnsiTheme="minorEastAsia"/>
          <w:kern w:val="0"/>
          <w:sz w:val="24"/>
          <w:szCs w:val="24"/>
        </w:rPr>
        <w:t>一、前  言</w:t>
      </w:r>
      <w:bookmarkEnd w:id="1"/>
      <w:bookmarkEnd w:id="2"/>
    </w:p>
    <w:p>
      <w:pPr>
        <w:spacing w:line="360" w:lineRule="auto"/>
        <w:ind w:firstLine="480" w:firstLineChars="200"/>
        <w:outlineLvl w:val="1"/>
        <w:rPr>
          <w:rFonts w:cs="Times New Roman" w:asciiTheme="minorEastAsia" w:hAnsiTheme="minorEastAsia"/>
          <w:kern w:val="0"/>
          <w:sz w:val="24"/>
          <w:szCs w:val="24"/>
        </w:rPr>
      </w:pPr>
      <w:bookmarkStart w:id="3" w:name="_Toc18094"/>
      <w:r>
        <w:rPr>
          <w:rFonts w:hint="eastAsia" w:cs="Times New Roman" w:asciiTheme="minorEastAsia" w:hAnsiTheme="minorEastAsia"/>
          <w:kern w:val="0"/>
          <w:sz w:val="24"/>
          <w:szCs w:val="24"/>
        </w:rPr>
        <w:t>（一）编制说明</w:t>
      </w:r>
      <w:bookmarkEnd w:id="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本报告为浙江佰利眼镜有限公司（以下简称为“公司”或“佰利”）首次公开发布的《企业质量诚信报告》，系根据中华人民共和国国家标准</w:t>
      </w:r>
      <w:r>
        <w:rPr>
          <w:rFonts w:cs="Times New Roman" w:asciiTheme="minorEastAsia" w:hAnsiTheme="minorEastAsia"/>
          <w:kern w:val="0"/>
          <w:sz w:val="24"/>
          <w:szCs w:val="24"/>
        </w:rPr>
        <w:t>GB/T 29467-2012</w:t>
      </w:r>
      <w:r>
        <w:rPr>
          <w:rFonts w:hint="eastAsia" w:cs="Times New Roman" w:asciiTheme="minorEastAsia" w:hAnsiTheme="minorEastAsia"/>
          <w:kern w:val="0"/>
          <w:sz w:val="24"/>
          <w:szCs w:val="24"/>
        </w:rPr>
        <w:t>《企业质量诚信管理实施规范》和GB/T 31870-2015《企业质量信用报告编写指南》的规定，结合本公司</w:t>
      </w:r>
      <w:r>
        <w:rPr>
          <w:rFonts w:cs="Times New Roman" w:asciiTheme="minorEastAsia" w:hAnsiTheme="minorEastAsia"/>
          <w:kern w:val="0"/>
          <w:sz w:val="24"/>
          <w:szCs w:val="24"/>
        </w:rPr>
        <w:t>2019</w:t>
      </w:r>
      <w:r>
        <w:rPr>
          <w:rFonts w:hint="eastAsia" w:cs="Times New Roman" w:asciiTheme="minorEastAsia" w:hAnsiTheme="minorEastAsia"/>
          <w:kern w:val="0"/>
          <w:sz w:val="24"/>
          <w:szCs w:val="24"/>
        </w:rPr>
        <w:t>年质量诚信体系建设情况编制而成。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本公司保证本报告中所载资料在质量管理、产品质量责任、质量诚信管理等方面的理念、制度、采取的措施和取得的绩效等不存在任何虚假记载、误导性陈述，并对其内容的真实性、准确性承担责任。</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报告组织范围：浙江佰利眼镜有限公司</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报告发布时间：2019年06月30日至2020年07月01日期间</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报告发布周期:1次/年</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报告数据说明:报告内所涉数据来源于公司,数据真实有效。</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报告获取方式：公司网站</w:t>
      </w:r>
    </w:p>
    <w:p>
      <w:pPr>
        <w:spacing w:line="360" w:lineRule="auto"/>
        <w:ind w:firstLine="480" w:firstLineChars="200"/>
        <w:outlineLvl w:val="1"/>
        <w:rPr>
          <w:rFonts w:cs="Times New Roman" w:asciiTheme="minorEastAsia" w:hAnsiTheme="minorEastAsia"/>
          <w:kern w:val="0"/>
          <w:sz w:val="24"/>
          <w:szCs w:val="24"/>
        </w:rPr>
      </w:pPr>
      <w:bookmarkStart w:id="4" w:name="_Toc13821"/>
      <w:r>
        <w:rPr>
          <w:rFonts w:hint="eastAsia" w:cs="Times New Roman" w:asciiTheme="minorEastAsia" w:hAnsiTheme="minorEastAsia"/>
          <w:kern w:val="0"/>
          <w:sz w:val="24"/>
          <w:szCs w:val="24"/>
        </w:rPr>
        <w:t>（二）总经理致辞</w:t>
      </w:r>
      <w:bookmarkEnd w:id="4"/>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尊敬的政府质监部门、各界朋友及同仁：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浙江佰利眼镜有限公司</w:t>
      </w:r>
      <w:r>
        <w:rPr>
          <w:rFonts w:cs="Times New Roman" w:asciiTheme="minorEastAsia" w:hAnsiTheme="minorEastAsia"/>
          <w:kern w:val="0"/>
          <w:sz w:val="24"/>
          <w:szCs w:val="24"/>
        </w:rPr>
        <w:t>衷心感谢社会各界广大用户的厚爱、支持与合作！ </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我公司拥有先进的生产工艺和设备，建立了严格的质量控制体系，致力于</w:t>
      </w:r>
      <w:r>
        <w:rPr>
          <w:rFonts w:hint="eastAsia" w:cs="Times New Roman" w:asciiTheme="minorEastAsia" w:hAnsiTheme="minorEastAsia"/>
          <w:kern w:val="0"/>
          <w:sz w:val="24"/>
          <w:szCs w:val="24"/>
        </w:rPr>
        <w:t>做一个有道德有责任的企业</w:t>
      </w:r>
      <w:r>
        <w:rPr>
          <w:rFonts w:cs="Times New Roman" w:asciiTheme="minorEastAsia" w:hAnsiTheme="minorEastAsia"/>
          <w:kern w:val="0"/>
          <w:sz w:val="24"/>
          <w:szCs w:val="24"/>
        </w:rPr>
        <w:t>。</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公司始终本着“</w:t>
      </w:r>
      <w:r>
        <w:rPr>
          <w:rFonts w:hint="eastAsia" w:cs="Times New Roman" w:asciiTheme="minorEastAsia" w:hAnsiTheme="minorEastAsia"/>
          <w:kern w:val="0"/>
          <w:sz w:val="24"/>
          <w:szCs w:val="24"/>
        </w:rPr>
        <w:t>致力于提供安全、舒适、健康的儿童视力保护方案”的宗旨和“客户至上 结果导向 团队合作 持续创新” 的理念，矢志于儿童眼镜行业，产品远销欧洲，美国，日本，香港和东南亚。</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自创立以来，得到了各级领导和社会各界朋友的关心和帮助，得到了各位经销代理商和供应商朋友的可贵支持，在此，我谨代表公司全体员工向关心和支持过我们公司发展的各位领导、各界朋友和全体新老客户表示最诚挚的谢意！</w:t>
      </w:r>
    </w:p>
    <w:p>
      <w:pPr>
        <w:spacing w:line="360" w:lineRule="auto"/>
        <w:ind w:firstLine="480" w:firstLineChars="200"/>
        <w:outlineLvl w:val="1"/>
        <w:rPr>
          <w:rFonts w:cs="Times New Roman" w:asciiTheme="minorEastAsia" w:hAnsiTheme="minorEastAsia"/>
          <w:kern w:val="0"/>
          <w:sz w:val="24"/>
          <w:szCs w:val="24"/>
        </w:rPr>
      </w:pPr>
      <w:r>
        <w:rPr>
          <w:rFonts w:cs="Times New Roman" w:asciiTheme="minorEastAsia" w:hAnsiTheme="minorEastAsia"/>
          <w:kern w:val="0"/>
          <w:sz w:val="24"/>
          <w:szCs w:val="24"/>
        </w:rPr>
        <w:br w:type="page"/>
      </w:r>
      <w:bookmarkStart w:id="5" w:name="_Toc515451667"/>
      <w:bookmarkStart w:id="6" w:name="_Toc13647"/>
      <w:bookmarkStart w:id="7" w:name="_Toc451594565"/>
      <w:bookmarkStart w:id="8" w:name="_Toc451594566"/>
      <w:r>
        <w:rPr>
          <w:rFonts w:hint="eastAsia" w:cs="Times New Roman" w:asciiTheme="minorEastAsia" w:hAnsiTheme="minorEastAsia"/>
          <w:kern w:val="0"/>
          <w:sz w:val="24"/>
          <w:szCs w:val="24"/>
        </w:rPr>
        <w:t>（三）公司简介</w:t>
      </w:r>
      <w:bookmarkEnd w:id="5"/>
      <w:bookmarkEnd w:id="6"/>
      <w:bookmarkEnd w:id="7"/>
    </w:p>
    <w:bookmarkEnd w:id="8"/>
    <w:p>
      <w:pPr>
        <w:pStyle w:val="34"/>
        <w:shd w:val="clear" w:color="auto" w:fill="FFFFFF"/>
        <w:spacing w:line="360" w:lineRule="auto"/>
        <w:ind w:firstLine="480"/>
        <w:rPr>
          <w:rFonts w:cs="Times New Roman" w:asciiTheme="minorEastAsia" w:hAnsiTheme="minorEastAsia" w:eastAsiaTheme="minorEastAsia"/>
        </w:rPr>
      </w:pPr>
      <w:bookmarkStart w:id="9" w:name="_Toc451594567"/>
      <w:bookmarkStart w:id="10" w:name="_Toc515451669"/>
      <w:bookmarkStart w:id="11" w:name="_Toc8329"/>
      <w:r>
        <w:rPr>
          <w:rFonts w:hint="eastAsia" w:cs="Times New Roman" w:asciiTheme="minorEastAsia" w:hAnsiTheme="minorEastAsia" w:eastAsiaTheme="minorEastAsia"/>
        </w:rPr>
        <w:t>浙江佰利眼镜有限公司前身椒江佰利眼镜厂，创立于2007年，坐落于浙江台州椒江章安建设工业区，作为一家成熟而富有活力的眼镜企业.</w:t>
      </w:r>
    </w:p>
    <w:p>
      <w:pPr>
        <w:pStyle w:val="34"/>
        <w:shd w:val="clear" w:color="auto" w:fill="FFFFFF"/>
        <w:spacing w:line="360" w:lineRule="auto"/>
        <w:ind w:firstLine="480"/>
        <w:rPr>
          <w:rFonts w:cs="Times New Roman" w:asciiTheme="minorEastAsia" w:hAnsiTheme="minorEastAsia" w:eastAsiaTheme="minorEastAsia"/>
        </w:rPr>
      </w:pPr>
      <w:r>
        <w:rPr>
          <w:rFonts w:hint="eastAsia" w:cs="Times New Roman" w:asciiTheme="minorEastAsia" w:hAnsiTheme="minorEastAsia" w:eastAsiaTheme="minorEastAsia"/>
        </w:rPr>
        <w:t>公司主营儿童眼镜及太阳镜，</w:t>
      </w:r>
      <w:bookmarkStart w:id="37" w:name="_GoBack"/>
      <w:bookmarkEnd w:id="37"/>
      <w:r>
        <w:rPr>
          <w:rFonts w:hint="eastAsia" w:cs="Times New Roman" w:asciiTheme="minorEastAsia" w:hAnsiTheme="minorEastAsia" w:eastAsiaTheme="minorEastAsia"/>
        </w:rPr>
        <w:t>多个系列，1000多个品种，选材考究、做工精细、款式新颖，畅销国内外，公司拥有先进的生产机器设备，凭借独特的产品设计理念、高品质产品和及时的出货率，赢得国内外客户一致好评。</w:t>
      </w:r>
    </w:p>
    <w:p>
      <w:pPr>
        <w:pStyle w:val="34"/>
        <w:shd w:val="clear" w:color="auto" w:fill="FFFFFF"/>
        <w:spacing w:line="360" w:lineRule="auto"/>
        <w:ind w:firstLine="480"/>
        <w:rPr>
          <w:rFonts w:cs="Times New Roman" w:asciiTheme="minorEastAsia" w:hAnsiTheme="minorEastAsia" w:eastAsiaTheme="minorEastAsia"/>
        </w:rPr>
      </w:pPr>
      <w:r>
        <w:rPr>
          <w:rFonts w:hint="eastAsia" w:cs="Times New Roman" w:asciiTheme="minorEastAsia" w:hAnsiTheme="minorEastAsia" w:eastAsiaTheme="minorEastAsia"/>
        </w:rPr>
        <w:t xml:space="preserve">佰利一直将保护儿童健康视力作为自己的首要责任，专注研究开发适合亚洲儿童、青少年的眼镜，在保护儿童健康视力的同时，让眼镜不再影响儿童的脸型发育，为儿童提供全方位的保护，拥有更舒适的佩戴体验。 </w:t>
      </w:r>
    </w:p>
    <w:p>
      <w:pPr>
        <w:pStyle w:val="34"/>
        <w:shd w:val="clear" w:color="auto" w:fill="FFFFFF"/>
        <w:spacing w:line="360" w:lineRule="auto"/>
        <w:ind w:firstLine="480"/>
        <w:rPr>
          <w:rFonts w:cs="Times New Roman" w:asciiTheme="minorEastAsia" w:hAnsiTheme="minorEastAsia" w:eastAsiaTheme="minorEastAsia"/>
        </w:rPr>
      </w:pPr>
      <w:r>
        <w:rPr>
          <w:rFonts w:hint="eastAsia" w:cs="Times New Roman" w:asciiTheme="minorEastAsia" w:hAnsiTheme="minorEastAsia" w:eastAsiaTheme="minorEastAsia"/>
        </w:rPr>
        <w:t xml:space="preserve">产品自上市销售便深受消费者的赞誉和好评，佰利全体员工对企业未来亦充满信心，相信佰利一定能赢得更广阔的市场和更美好的未来。 </w:t>
      </w:r>
    </w:p>
    <w:p>
      <w:pPr>
        <w:pStyle w:val="34"/>
        <w:shd w:val="clear" w:color="auto" w:fill="FFFFFF"/>
        <w:spacing w:before="0" w:beforeAutospacing="0" w:after="0" w:afterAutospacing="0" w:line="360" w:lineRule="auto"/>
        <w:ind w:firstLine="480"/>
        <w:rPr>
          <w:rFonts w:cs="Times New Roman" w:asciiTheme="minorEastAsia" w:hAnsiTheme="minorEastAsia" w:eastAsiaTheme="minorEastAsia"/>
        </w:rPr>
      </w:pPr>
      <w:r>
        <w:rPr>
          <w:rFonts w:hint="eastAsia" w:cs="Times New Roman" w:asciiTheme="minorEastAsia" w:hAnsiTheme="minorEastAsia" w:eastAsiaTheme="minorEastAsia"/>
        </w:rPr>
        <w:t>全球经济一体化的趋势下，佰利佰利眼镜将继续深钻专业领域，提升自身技术高度，完善产品结构，忧化全球服务网络平台朝着拥有国际先进技术和文化的企业方向迈进！。</w:t>
      </w:r>
    </w:p>
    <w:p>
      <w:pPr>
        <w:spacing w:line="360" w:lineRule="auto"/>
        <w:ind w:firstLine="480" w:firstLineChars="200"/>
        <w:outlineLvl w:val="0"/>
        <w:rPr>
          <w:rFonts w:cs="Times New Roman" w:asciiTheme="minorEastAsia" w:hAnsiTheme="minorEastAsia"/>
          <w:kern w:val="0"/>
          <w:sz w:val="24"/>
          <w:szCs w:val="24"/>
        </w:rPr>
      </w:pPr>
      <w:r>
        <w:rPr>
          <w:rFonts w:hint="eastAsia" w:cs="Times New Roman" w:asciiTheme="minorEastAsia" w:hAnsiTheme="minorEastAsia"/>
          <w:kern w:val="0"/>
          <w:sz w:val="24"/>
          <w:szCs w:val="24"/>
        </w:rPr>
        <w:t>二、企业质量管理</w:t>
      </w:r>
      <w:bookmarkEnd w:id="9"/>
      <w:bookmarkEnd w:id="10"/>
      <w:bookmarkEnd w:id="11"/>
    </w:p>
    <w:p>
      <w:pPr>
        <w:spacing w:line="360" w:lineRule="auto"/>
        <w:ind w:firstLine="480" w:firstLineChars="200"/>
        <w:outlineLvl w:val="1"/>
        <w:rPr>
          <w:rFonts w:cs="Times New Roman" w:asciiTheme="minorEastAsia" w:hAnsiTheme="minorEastAsia"/>
          <w:kern w:val="0"/>
          <w:sz w:val="24"/>
          <w:szCs w:val="24"/>
        </w:rPr>
      </w:pPr>
      <w:bookmarkStart w:id="12" w:name="_Toc28792"/>
      <w:bookmarkStart w:id="13" w:name="_Toc515451668"/>
      <w:r>
        <w:rPr>
          <w:rFonts w:hint="eastAsia" w:cs="Times New Roman" w:asciiTheme="minorEastAsia" w:hAnsiTheme="minorEastAsia"/>
          <w:kern w:val="0"/>
          <w:sz w:val="24"/>
          <w:szCs w:val="24"/>
        </w:rPr>
        <w:t>（一）企业质量理念</w:t>
      </w:r>
      <w:bookmarkEnd w:id="12"/>
      <w:bookmarkEnd w:id="1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公司成立之初，便致力于打造高质量产品，将产品质量视为企业生存和发展的重要基石，</w:t>
      </w:r>
      <w:r>
        <w:rPr>
          <w:rFonts w:cs="Times New Roman" w:asciiTheme="minorEastAsia" w:hAnsiTheme="minorEastAsia"/>
          <w:kern w:val="0"/>
          <w:sz w:val="24"/>
          <w:szCs w:val="24"/>
        </w:rPr>
        <w:t>公司</w:t>
      </w:r>
      <w:r>
        <w:rPr>
          <w:rFonts w:hint="eastAsia" w:cs="Times New Roman" w:asciiTheme="minorEastAsia" w:hAnsiTheme="minorEastAsia"/>
          <w:kern w:val="0"/>
          <w:sz w:val="24"/>
          <w:szCs w:val="24"/>
        </w:rPr>
        <w:t>先后通过了</w:t>
      </w:r>
      <w:r>
        <w:rPr>
          <w:rFonts w:cs="Times New Roman" w:asciiTheme="minorEastAsia" w:hAnsiTheme="minorEastAsia"/>
          <w:kern w:val="0"/>
          <w:sz w:val="24"/>
          <w:szCs w:val="24"/>
        </w:rPr>
        <w:t>GB/T 19001</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 xml:space="preserve">GB/T </w:t>
      </w:r>
      <w:r>
        <w:rPr>
          <w:rFonts w:hint="eastAsia" w:cs="Times New Roman" w:asciiTheme="minorEastAsia" w:hAnsiTheme="minorEastAsia"/>
          <w:kern w:val="0"/>
          <w:sz w:val="24"/>
          <w:szCs w:val="24"/>
        </w:rPr>
        <w:t>2</w:t>
      </w:r>
      <w:r>
        <w:rPr>
          <w:rFonts w:cs="Times New Roman" w:asciiTheme="minorEastAsia" w:hAnsiTheme="minorEastAsia"/>
          <w:kern w:val="0"/>
          <w:sz w:val="24"/>
          <w:szCs w:val="24"/>
        </w:rPr>
        <w:t>4001</w:t>
      </w:r>
      <w:r>
        <w:rPr>
          <w:rFonts w:hint="eastAsia" w:cs="Times New Roman" w:asciiTheme="minorEastAsia" w:hAnsiTheme="minorEastAsia"/>
          <w:kern w:val="0"/>
          <w:sz w:val="24"/>
          <w:szCs w:val="24"/>
        </w:rPr>
        <w:t>管理体系的认证，产品质量达到国内领先水平。浙江佰利眼镜的质量理念是“品质、高效、持续改进、以顾客为中心”</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严格按该国际质量管理体系执行，使企业产品的质量得到有力的保障，从而使企业的质量方针得以顺利推行。</w:t>
      </w:r>
      <w:r>
        <w:rPr>
          <w:rFonts w:hint="eastAsia" w:cs="Times New Roman" w:asciiTheme="minorEastAsia" w:hAnsiTheme="minorEastAsia"/>
          <w:kern w:val="0"/>
          <w:sz w:val="24"/>
          <w:szCs w:val="24"/>
        </w:rPr>
        <w:t>为从根本上加强质量管理，提高公司经营质量，公司更以卓越绩效模式的导入为契机，推行全面质量管理，运用质量统计工具，通过内部审核、自我评价、第三方审核或评价，不断寻找改进机会和持续改进的方式，迈向卓越的绩效。</w:t>
      </w:r>
      <w:r>
        <w:rPr>
          <w:rFonts w:cs="Times New Roman" w:asciiTheme="minorEastAsia" w:hAnsiTheme="minorEastAsia"/>
          <w:kern w:val="0"/>
          <w:sz w:val="24"/>
          <w:szCs w:val="24"/>
        </w:rPr>
        <w:t>自建厂以来，公司从未出现过重大质量投诉，在历年接受各级质量技术部门的抽检中，合格率均达</w:t>
      </w:r>
      <w:r>
        <w:rPr>
          <w:rFonts w:hint="eastAsia" w:cs="Times New Roman" w:asciiTheme="minorEastAsia" w:hAnsiTheme="minorEastAsia"/>
          <w:kern w:val="0"/>
          <w:sz w:val="24"/>
          <w:szCs w:val="24"/>
        </w:rPr>
        <w:t>98</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以上</w:t>
      </w:r>
      <w:r>
        <w:rPr>
          <w:rFonts w:cs="Times New Roman" w:asciiTheme="minorEastAsia" w:hAnsiTheme="minorEastAsia"/>
          <w:kern w:val="0"/>
          <w:sz w:val="24"/>
          <w:szCs w:val="24"/>
        </w:rPr>
        <w:t>。</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公司通过会议、宣传栏、企业网站、微信公众号对企业文化、质量理念进行宣传。</w:t>
      </w:r>
    </w:p>
    <w:p>
      <w:pPr>
        <w:spacing w:line="360" w:lineRule="auto"/>
        <w:ind w:firstLine="480" w:firstLineChars="200"/>
        <w:outlineLvl w:val="1"/>
        <w:rPr>
          <w:rFonts w:cs="Times New Roman" w:asciiTheme="minorEastAsia" w:hAnsiTheme="minorEastAsia"/>
          <w:kern w:val="0"/>
          <w:sz w:val="24"/>
          <w:szCs w:val="24"/>
        </w:rPr>
      </w:pPr>
      <w:bookmarkStart w:id="14" w:name="_Toc9290"/>
      <w:bookmarkStart w:id="15" w:name="_Toc515451670"/>
      <w:r>
        <w:rPr>
          <w:rFonts w:hint="eastAsia" w:cs="Times New Roman" w:asciiTheme="minorEastAsia" w:hAnsiTheme="minorEastAsia"/>
          <w:kern w:val="0"/>
          <w:sz w:val="24"/>
          <w:szCs w:val="24"/>
        </w:rPr>
        <w:t>（二）质量管理机构</w:t>
      </w:r>
      <w:bookmarkEnd w:id="14"/>
      <w:bookmarkEnd w:id="15"/>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公司遵循质量管理“三不原则”：不接受不合格品、不制造不合格品，不流出不合格品。本着对产品质量的高度重视，公司建立质量负责人制度，制定了各料件、部件、产品的检验标准，并各司其职、相互沟通配合，从研发、采购、生产等各过程，加强产品质量把控。</w:t>
      </w:r>
      <w:bookmarkStart w:id="16" w:name="_Toc515451671"/>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图1：质量管理体系组织架构图</w:t>
      </w:r>
    </w:p>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drawing>
          <wp:inline distT="0" distB="0" distL="0" distR="0">
            <wp:extent cx="5274310" cy="4072890"/>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4072890"/>
                    </a:xfrm>
                    <a:prstGeom prst="rect">
                      <a:avLst/>
                    </a:prstGeom>
                    <a:noFill/>
                    <a:ln>
                      <a:noFill/>
                    </a:ln>
                  </pic:spPr>
                </pic:pic>
              </a:graphicData>
            </a:graphic>
          </wp:inline>
        </w:drawing>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浙江佰利眼镜有限公司</w:t>
      </w:r>
    </w:p>
    <w:p>
      <w:pPr>
        <w:spacing w:line="360" w:lineRule="auto"/>
        <w:ind w:firstLine="480" w:firstLineChars="200"/>
        <w:outlineLvl w:val="1"/>
        <w:rPr>
          <w:rFonts w:cs="Times New Roman" w:asciiTheme="minorEastAsia" w:hAnsiTheme="minorEastAsia"/>
          <w:kern w:val="0"/>
          <w:sz w:val="24"/>
          <w:szCs w:val="24"/>
        </w:rPr>
      </w:pPr>
      <w:bookmarkStart w:id="17" w:name="_Toc21673"/>
      <w:r>
        <w:rPr>
          <w:rFonts w:hint="eastAsia" w:cs="Times New Roman" w:asciiTheme="minorEastAsia" w:hAnsiTheme="minorEastAsia"/>
          <w:kern w:val="0"/>
          <w:sz w:val="24"/>
          <w:szCs w:val="24"/>
        </w:rPr>
        <w:t>（三）质量管理体系</w:t>
      </w:r>
      <w:bookmarkEnd w:id="16"/>
      <w:bookmarkEnd w:id="17"/>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公司自引入</w:t>
      </w:r>
      <w:r>
        <w:rPr>
          <w:rFonts w:cs="Times New Roman" w:asciiTheme="minorEastAsia" w:hAnsiTheme="minorEastAsia"/>
          <w:kern w:val="0"/>
          <w:sz w:val="24"/>
          <w:szCs w:val="24"/>
        </w:rPr>
        <w:t>GB/T 1900</w:t>
      </w:r>
      <w:r>
        <w:rPr>
          <w:rFonts w:hint="eastAsia" w:cs="Times New Roman" w:asciiTheme="minorEastAsia" w:hAnsiTheme="minorEastAsia"/>
          <w:kern w:val="0"/>
          <w:sz w:val="24"/>
          <w:szCs w:val="24"/>
        </w:rPr>
        <w:t>1质量管理体系以来，“品质、高效、持续改进、以顾客为中心”为质量方针，围绕公司主要产品的设计、开发生产和销售过程，按</w:t>
      </w:r>
      <w:bookmarkStart w:id="18" w:name="_Hlk38801338"/>
      <w:r>
        <w:rPr>
          <w:rFonts w:hint="eastAsia" w:cs="Times New Roman" w:asciiTheme="minorEastAsia" w:hAnsiTheme="minorEastAsia"/>
          <w:kern w:val="0"/>
          <w:sz w:val="24"/>
          <w:szCs w:val="24"/>
        </w:rPr>
        <w:t>GB/T 1900</w:t>
      </w:r>
      <w:bookmarkEnd w:id="18"/>
      <w:r>
        <w:rPr>
          <w:rFonts w:hint="eastAsia" w:cs="Times New Roman" w:asciiTheme="minorEastAsia" w:hAnsiTheme="minorEastAsia"/>
          <w:kern w:val="0"/>
          <w:sz w:val="24"/>
          <w:szCs w:val="24"/>
        </w:rPr>
        <w:t>1-2016《质量管理体系要求》建立质量管理体系，形成了质量手册、程序文件和其他质量文件等，加以实施和保持，并持续改进有效性。</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1、质量管理体系方针与目标</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从导入</w:t>
      </w:r>
      <w:r>
        <w:rPr>
          <w:rFonts w:cs="Times New Roman" w:asciiTheme="minorEastAsia" w:hAnsiTheme="minorEastAsia"/>
          <w:kern w:val="0"/>
          <w:sz w:val="24"/>
          <w:szCs w:val="24"/>
        </w:rPr>
        <w:t>GB/T 1900</w:t>
      </w:r>
      <w:r>
        <w:rPr>
          <w:rFonts w:hint="eastAsia" w:cs="Times New Roman" w:asciiTheme="minorEastAsia" w:hAnsiTheme="minorEastAsia"/>
          <w:kern w:val="0"/>
          <w:sz w:val="24"/>
          <w:szCs w:val="24"/>
        </w:rPr>
        <w:t>1质量管理体系，坚持产品质量的“安全可靠，持续改进”，到导入卓越绩效管理模式，推行全面质量管理，坚持“科学管理和先进技术为支柱，不断创新，力求完美，以德取信，为顾客提供高品质产品和优良服务”，公司建立了以战略为核心，以GB/T 19580卓越绩效模式为框架的整合型全面质量管理体系，满足了顾客、股东、员工、供应商、社会和合作伙伴六大利益相关方的要求，在公司各层次建立了相应的战略规划、质量目标，并以公司绩效考核体系为依托，设立了质量考核KPI目标和质量问责制。</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1.1质量方针：</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品质、高效、持续改进、以顾客为中心。</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质量方针理解：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方针体现了以顾客要求为中心，以顾客满意为目的，以持续改进为宗旨，不断提高产品及服务质量的经营、发展理念。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质量诚信方针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打造一流的品质型企业，为客户提供优质的产品。</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2、质量教育</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在体系运行过程中，公司运用各种科学、有效的方法，测量、分析、改进，基于PDCA的系统方法，不断持续改善。公司运用多种工具，持续改进各部门、各层次的绩效，并采用标杆对比和学习的方式，不断修正个人工作思路和方式，确保实现个人和公司整体目标。公司积极与外部进行沟通交流，适时邀请专家对公司员工进行专项培训。公司定期对各级员工开展质量教育，对质量控制点进行专项管理，确保制造过程产品质量的一致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为牢固树立全体员工的诚信意识，公司每年年初制定本年度的教育培训计划。各部门负责人根据公司要求，编制教育培训计划和内容，认真组织下属的教育培训。各车间主任负责班组长及员工的诚信宣传教育工作。公司通过专题培训、书面文字进行张贴或传达、质量诚信先进员工经验交流、利用图片展示等多种方式对企业员工实施质量诚信教育。</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3、质量法规及责任制度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收集法律法规及其它标准、要求，制定内部相关标准，使产品达到国家法律法规和国家、行业标准的要求（部分指标超过外部要求），从产品技术上践行社会责任。同时，公司制定了《目标指标与方案管理程序》，对产品质量控制明确责任，遵循对质量事故不放过原则。</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公司在新产品、新技术研发过程中，积极识别收集法律、法规、行业与产品标准、知识产权风险规避及合规性进行评价，以满足法律、法规以及客户的要求与期望。</w:t>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表1：公司所遵守的质量标准和其他相关法律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1276" w:type="dxa"/>
            <w:tcBorders>
              <w:bottom w:val="single" w:color="auto" w:sz="4" w:space="0"/>
            </w:tcBorders>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类 别</w:t>
            </w:r>
          </w:p>
        </w:tc>
        <w:tc>
          <w:tcPr>
            <w:tcW w:w="7088" w:type="dxa"/>
            <w:tcBorders>
              <w:bottom w:val="single" w:color="auto"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76" w:type="dxa"/>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员工权益</w:t>
            </w:r>
          </w:p>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社会责任</w:t>
            </w:r>
          </w:p>
        </w:tc>
        <w:tc>
          <w:tcPr>
            <w:tcW w:w="7088" w:type="dxa"/>
            <w:vAlign w:val="center"/>
          </w:tcPr>
          <w:p>
            <w:pPr>
              <w:spacing w:line="360" w:lineRule="auto"/>
              <w:rPr>
                <w:rFonts w:cs="Times New Roman" w:asciiTheme="minorEastAsia" w:hAnsiTheme="minorEastAsia"/>
                <w:kern w:val="0"/>
                <w:sz w:val="24"/>
                <w:szCs w:val="24"/>
              </w:rPr>
            </w:pPr>
            <w:r>
              <w:rPr>
                <w:rFonts w:cs="Times New Roman" w:asciiTheme="minorEastAsia" w:hAnsiTheme="minorEastAsia"/>
                <w:kern w:val="0"/>
                <w:sz w:val="24"/>
                <w:szCs w:val="24"/>
              </w:rPr>
              <w:t>《劳动法》、《工会法》、《消费者权益保护法》、《环境保护法》、《安全生产法》、《职业病防治法》、ISO9001:20</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、ISO14001：20</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标准、OHSAS18000标准等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76" w:type="dxa"/>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产品标准执行与制定</w:t>
            </w:r>
          </w:p>
        </w:tc>
        <w:tc>
          <w:tcPr>
            <w:tcW w:w="7088" w:type="dxa"/>
            <w:vAlign w:val="center"/>
          </w:tcPr>
          <w:p>
            <w:pPr>
              <w:spacing w:line="360"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“浙江制造”标准 0718—2018《眼镜架》、“浙江制造”标准 1101—2019《儿童塑料眼镜架》等。</w:t>
            </w:r>
          </w:p>
        </w:tc>
      </w:tr>
    </w:tbl>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公司制定了《内部审核管理程序》、《管理评审程序》，并培养内审员团队，为确保体系运行的有效性和持续改进，安排了内审、过程审核和质量稽查。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制定了《不合格品管理程序》程序对不合格品进行了严格管控。公司对不合格品应进行标识（如经检验、试验或验证的原材料等未满足规定要求的）。返工产品返工后要进行再检测，符合规定才可转序或入库、交付。对达不到要求的降级处理或报废。当在交付或开始使用后发现不合格品时，本公司针对不合格品情况，进行分析，并采取与不合格影响或潜在影响程度相适应的的措施，并采取纠正产品进行再次验证，以证实符合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此外，公司还制定了《质量管理手册》、《生产管理程序》、《不合格品管理程序》等制度，对出现的质量问题进行问责和教育，并在日常研发、生产作业中，强调系统化，通过品管圈、持续改善等活动及质量工具的展开，充分应用PDCA循环，持续改善，追求卓越。</w:t>
      </w:r>
    </w:p>
    <w:p>
      <w:pPr>
        <w:spacing w:line="360" w:lineRule="auto"/>
        <w:ind w:firstLine="480" w:firstLineChars="200"/>
        <w:outlineLvl w:val="1"/>
        <w:rPr>
          <w:rFonts w:cs="Times New Roman" w:asciiTheme="minorEastAsia" w:hAnsiTheme="minorEastAsia"/>
          <w:kern w:val="0"/>
          <w:sz w:val="24"/>
          <w:szCs w:val="24"/>
        </w:rPr>
      </w:pPr>
      <w:bookmarkStart w:id="19" w:name="_Toc451594568"/>
      <w:bookmarkStart w:id="20" w:name="_Toc515451673"/>
      <w:bookmarkStart w:id="21" w:name="_Toc31735"/>
      <w:r>
        <w:rPr>
          <w:rFonts w:hint="eastAsia" w:cs="Times New Roman" w:asciiTheme="minorEastAsia" w:hAnsiTheme="minorEastAsia"/>
          <w:kern w:val="0"/>
          <w:sz w:val="24"/>
          <w:szCs w:val="24"/>
        </w:rPr>
        <w:t>（四）质量诚信管理</w:t>
      </w:r>
      <w:bookmarkEnd w:id="19"/>
      <w:bookmarkEnd w:id="20"/>
      <w:bookmarkEnd w:id="21"/>
    </w:p>
    <w:p>
      <w:pPr>
        <w:spacing w:line="360" w:lineRule="auto"/>
        <w:ind w:firstLine="480" w:firstLineChars="200"/>
        <w:outlineLvl w:val="2"/>
        <w:rPr>
          <w:rFonts w:cs="Times New Roman" w:asciiTheme="minorEastAsia" w:hAnsiTheme="minorEastAsia"/>
          <w:kern w:val="0"/>
          <w:sz w:val="24"/>
          <w:szCs w:val="24"/>
        </w:rPr>
      </w:pPr>
      <w:bookmarkStart w:id="22" w:name="_Toc515451674"/>
      <w:r>
        <w:rPr>
          <w:rFonts w:hint="eastAsia" w:cs="Times New Roman" w:asciiTheme="minorEastAsia" w:hAnsiTheme="minorEastAsia"/>
          <w:kern w:val="0"/>
          <w:sz w:val="24"/>
          <w:szCs w:val="24"/>
        </w:rPr>
        <w:t>1、质量承诺</w:t>
      </w:r>
      <w:bookmarkEnd w:id="22"/>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a）诚信守法</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高层领导遵循“</w:t>
      </w:r>
      <w:r>
        <w:rPr>
          <w:rFonts w:hint="eastAsia" w:cs="Times New Roman" w:asciiTheme="minorEastAsia" w:hAnsiTheme="minorEastAsia"/>
          <w:kern w:val="0"/>
          <w:sz w:val="24"/>
          <w:szCs w:val="24"/>
        </w:rPr>
        <w:t>合作重于竞争</w:t>
      </w:r>
      <w:r>
        <w:rPr>
          <w:rFonts w:cs="Times New Roman" w:asciiTheme="minorEastAsia" w:hAnsiTheme="minorEastAsia"/>
          <w:kern w:val="0"/>
          <w:sz w:val="24"/>
          <w:szCs w:val="24"/>
        </w:rPr>
        <w:t>”的</w:t>
      </w:r>
      <w:r>
        <w:rPr>
          <w:rFonts w:hint="eastAsia" w:cs="Times New Roman" w:asciiTheme="minorEastAsia" w:hAnsiTheme="minorEastAsia"/>
          <w:kern w:val="0"/>
          <w:sz w:val="24"/>
          <w:szCs w:val="24"/>
        </w:rPr>
        <w:t>经营</w:t>
      </w:r>
      <w:r>
        <w:rPr>
          <w:rFonts w:cs="Times New Roman" w:asciiTheme="minorEastAsia" w:hAnsiTheme="minorEastAsia"/>
          <w:kern w:val="0"/>
          <w:sz w:val="24"/>
          <w:szCs w:val="24"/>
        </w:rPr>
        <w:t>理念，严格遵循《公司法》、《经济法》、《合同法》、《产品质量法》、《安全生产法》、《环保法》、《劳动法》以及</w:t>
      </w:r>
      <w:r>
        <w:rPr>
          <w:rFonts w:hint="eastAsia" w:cs="Times New Roman" w:asciiTheme="minorEastAsia" w:hAnsiTheme="minorEastAsia"/>
          <w:kern w:val="0"/>
          <w:sz w:val="24"/>
          <w:szCs w:val="24"/>
        </w:rPr>
        <w:t>纺织</w:t>
      </w:r>
      <w:r>
        <w:rPr>
          <w:rFonts w:cs="Times New Roman" w:asciiTheme="minorEastAsia" w:hAnsiTheme="minorEastAsia"/>
          <w:kern w:val="0"/>
          <w:sz w:val="24"/>
          <w:szCs w:val="24"/>
        </w:rPr>
        <w:t>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b）满足客户需求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高度重视技术研发，加强了研发力量的投入，以客户需求为中心，积极听取客户关于功能、质量、配置等方面的意见和建议，开展产品改进和创新活动，满足客户对产品和交期的需求。在产品质量方面，公司严格执行ISO9001质量管理体系，通过开展技术攻关、质量改进、QC小组等活动，保障产品质量安全。</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2、质量管理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--质量监测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公司应对以下内容的数据进行收集与分析：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a.顾客满意程度调查表进行统计分析。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b.过程产品、最终产品质量是否达到了规定的管理目标要求。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c.与顾客、法律法规及标准要求的符合程度。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d.供方的产品质量情况。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e.环境/安全监测的结果，以及不符合的发生，包括事故、事件等，必要时也应进行统计分析，以利于采取纠正和预防措施。</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f.管理目标的实施情况。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--质量追溯</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公司每年组织进行管理评审会议，评审质量、环境等管理体系的适宜性、充分性和有效性，达到持续不断完善管理体系，确保公司体系方针和目标的实现，满足相关方要求。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公司通过统计口径、财务报表、专题会议等多种渠道全面收集、整理和测量产品质量的数据和信息，并对数据和信息进行分析，制定相应的改进措施。</w:t>
      </w:r>
    </w:p>
    <w:p>
      <w:pPr>
        <w:spacing w:line="360" w:lineRule="auto"/>
        <w:ind w:firstLine="480" w:firstLineChars="200"/>
        <w:outlineLvl w:val="2"/>
        <w:rPr>
          <w:rFonts w:cs="Times New Roman" w:asciiTheme="minorEastAsia" w:hAnsiTheme="minorEastAsia"/>
          <w:kern w:val="0"/>
          <w:sz w:val="24"/>
          <w:szCs w:val="24"/>
        </w:rPr>
      </w:pPr>
      <w:bookmarkStart w:id="23" w:name="_Toc515451675"/>
      <w:r>
        <w:rPr>
          <w:rFonts w:hint="eastAsia" w:cs="Times New Roman" w:asciiTheme="minorEastAsia" w:hAnsiTheme="minorEastAsia"/>
          <w:kern w:val="0"/>
          <w:sz w:val="24"/>
          <w:szCs w:val="24"/>
        </w:rPr>
        <w:t>3、运作管理</w:t>
      </w:r>
      <w:bookmarkEnd w:id="2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a）产品设计诚信管理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公司产品设计与研发严格依照《产品质量先期策划管理程序》从研发策划、过程各类活动记录、设计和开发输出、评审相关的整个过程。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b）原材料采购诚信管理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企业根据物料对产品质量的风险程度，把供应商分为“A类”供应商：塑料粒子、油漆供应商。“B类”供应商：镜片、铰链、尾针、鼻托、包装盒、包装袋等的供应商。 “C类”供应商：劳保用品、水电材料及其他低值易耗品等零星采购物料的供应商。对一类、二类物料供应商，需要进行评价批准、二方审核、ISO9001资质、绩效评价。对三类物料的供应商，企业评价批准、绩效评价。供方产品如出现严重质量问题，如发生批次产品不合格，采购员应根据进货检证单将不合格情况记录在“供方业绩评价表”上，若供方在一年内有三批，则取消合格供方资格。</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在设备采购方面，采购员对有信誉及有能力的公司进行初步查询，并由供方提供相关证明(营业执照或质量证明,许可证等)后，填写“供方调查评价表”，验证供方管理体系满足采购产品要求的能力，包括对产品质量、环境影响及安全要求和生产能力等作出评价,交采购部主管初审，必要时可进行现场调查。所有设备在使用前必须经过设备验证，确保符合产品工艺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c）生产过程诚信管理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公司生产部、技术部、综合部具体负责各品种生产管理与技术管理工作。制定并逐步完善了各种</w:t>
      </w:r>
      <w:r>
        <w:rPr>
          <w:rFonts w:hint="eastAsia" w:hAnsi="宋体"/>
          <w:sz w:val="24"/>
          <w:szCs w:val="24"/>
        </w:rPr>
        <w:t>生产计划、《监视和测量资源控制程序》、《应急准备与响应管理程序》、《设施设备及工装管理程序》</w:t>
      </w:r>
      <w:r>
        <w:rPr>
          <w:rFonts w:hint="eastAsia" w:cs="Times New Roman" w:asciiTheme="minorEastAsia" w:hAnsiTheme="minorEastAsia"/>
          <w:kern w:val="0"/>
          <w:sz w:val="24"/>
          <w:szCs w:val="24"/>
        </w:rPr>
        <w:t>。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对生产所需的原材料、辅料材料进行投产前复核，把好中间产品、成品的质量，严格执行对不合格品的“不生产、不接收、不流转”的“三不原则”，关键工序设质量控制点，督促员工做好自检、互检，专检规程，严格审批记录的管理规程，做到领用、发放和核对相统一。对每一生产步骤进行物料平衡，保证物料的投入和产品的产出数量与工艺要求相一致，确认无潜在质量隐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生产记录由生产部负责审核、印制和保管。员工操作必须按要求及时填写生产记录，做到字迹清晰、内容真实、数据完整，操作人及复核人签名确认。每批生产结束后，车间统计员把记录汇总、复核，及时上交生产部，经审核无误后，按批号整理归档，由专人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公司根据行业特点及实际情况，加强生产过程的信息化建设水平，应用</w:t>
      </w:r>
      <w:r>
        <w:rPr>
          <w:rFonts w:cs="Times New Roman" w:asciiTheme="minorEastAsia" w:hAnsiTheme="minorEastAsia"/>
          <w:kern w:val="0"/>
          <w:sz w:val="24"/>
          <w:szCs w:val="24"/>
        </w:rPr>
        <w:t>ERP</w:t>
      </w:r>
      <w:r>
        <w:rPr>
          <w:rFonts w:hint="eastAsia" w:cs="Times New Roman" w:asciiTheme="minorEastAsia" w:hAnsiTheme="minorEastAsia"/>
          <w:kern w:val="0"/>
          <w:sz w:val="24"/>
          <w:szCs w:val="24"/>
        </w:rPr>
        <w:t>系统的生产管理模块对整个过程进行数据采集和监控，对公司整个生产过程实行系统化管理，并挖掘内部潜力，发挥技术骨干人员的力量，开展对现有设备进行持续性改造或科技创新工作，对薄弱环节进行技术攻关；生产员工上岗前要经过培训及考核，建立全员培训档案，通过集中培训、班前会培训、“传、帮、带”、目视化等多种方式进行培训，强化其工作技能和质量意识。生产员工严格遵守车间纪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推行精细化生产组织模式以缩短生产和交货周期，快速适应市场订单品种和数量高低起伏的变化，在降低库存基础上满足客户需求，满足了客户对电扶梯产品性能的全面了解和产品质量的进一步认可，订货率也随之提高，并且在很大程度上解决了售后质量问题，减少了售后服务工作人员的工作量，使售后服务工作安排更加柔性化。</w:t>
      </w:r>
    </w:p>
    <w:p>
      <w:pPr>
        <w:spacing w:line="360" w:lineRule="auto"/>
        <w:ind w:firstLine="480" w:firstLineChars="200"/>
        <w:outlineLvl w:val="2"/>
        <w:rPr>
          <w:rFonts w:cs="Times New Roman" w:asciiTheme="minorEastAsia" w:hAnsiTheme="minorEastAsia"/>
          <w:kern w:val="0"/>
          <w:sz w:val="24"/>
          <w:szCs w:val="24"/>
        </w:rPr>
      </w:pPr>
      <w:bookmarkStart w:id="24" w:name="_Toc515451676"/>
      <w:r>
        <w:rPr>
          <w:rFonts w:hint="eastAsia" w:cs="Times New Roman" w:asciiTheme="minorEastAsia" w:hAnsiTheme="minorEastAsia"/>
          <w:kern w:val="0"/>
          <w:sz w:val="24"/>
          <w:szCs w:val="24"/>
        </w:rPr>
        <w:t>4、营销管理</w:t>
      </w:r>
      <w:bookmarkEnd w:id="24"/>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根据战略要求，对市场进行细分，以提高资源和运作的有效性针对性。公司将顾客分为直接顾客、间接顾客两类。针对不同类型顾客确定顾客的需求与期望，针对其需求与期望来确定适当的方法，建立相应的体系与团队，建立各种渠道和方法，针对性的进行顾客需求与期望的了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公司通过展览会、行业会议、行业标委会、公共媒体、互联网、外部机构等渠道，以问卷调查、面对面或电话访谈、观察查询、外部委托等方法，了解客户的需求和期望。</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公司以“客户至上 结果导向 团队合作 持续创新”为核心价值观，要求业务人员对于任何一位客户，不论他下单与否，都要做到热情、周到，都要尽量满足他们的所有合理需求。制订了《营销与服务管理程序》等，从各方面增加业务人员的技能和素质，提升了顾客成交率。</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公司建立顾客回访制度，采取顾客自愿形式，记录顾客联系电话、产品型号订购时间等相关信息，在顾客购买一段时间后（通常是一年内）进行电话回访，并适时推介新款，提升顾客满意度。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公司建立及时反馈处理用户投诉意见的快速反应机制，投诉/应急处理的响应时间原则上不超过</w:t>
      </w:r>
      <w:r>
        <w:rPr>
          <w:rFonts w:cs="Times New Roman" w:asciiTheme="minorEastAsia" w:hAnsiTheme="minorEastAsia"/>
          <w:kern w:val="0"/>
          <w:sz w:val="24"/>
          <w:szCs w:val="24"/>
        </w:rPr>
        <w:t>24</w:t>
      </w:r>
      <w:r>
        <w:rPr>
          <w:rFonts w:hint="eastAsia" w:cs="Times New Roman" w:asciiTheme="minorEastAsia" w:hAnsiTheme="minorEastAsia"/>
          <w:kern w:val="0"/>
          <w:sz w:val="24"/>
          <w:szCs w:val="24"/>
        </w:rPr>
        <w:t>小时，对不可预测的变化，及时采取应对措施。</w:t>
      </w:r>
    </w:p>
    <w:p>
      <w:pPr>
        <w:spacing w:line="360" w:lineRule="auto"/>
        <w:ind w:firstLine="480" w:firstLineChars="200"/>
        <w:outlineLvl w:val="1"/>
        <w:rPr>
          <w:rFonts w:cs="Times New Roman" w:asciiTheme="minorEastAsia" w:hAnsiTheme="minorEastAsia"/>
          <w:kern w:val="0"/>
          <w:sz w:val="24"/>
          <w:szCs w:val="24"/>
        </w:rPr>
      </w:pPr>
      <w:bookmarkStart w:id="25" w:name="_Toc18678"/>
      <w:r>
        <w:rPr>
          <w:rFonts w:hint="eastAsia" w:cs="Times New Roman" w:asciiTheme="minorEastAsia" w:hAnsiTheme="minorEastAsia"/>
          <w:kern w:val="0"/>
          <w:sz w:val="24"/>
          <w:szCs w:val="24"/>
        </w:rPr>
        <w:t>（五）企业文化建设</w:t>
      </w:r>
      <w:bookmarkEnd w:id="25"/>
    </w:p>
    <w:p>
      <w:pPr>
        <w:spacing w:line="360" w:lineRule="auto"/>
        <w:ind w:firstLine="480" w:firstLineChars="200"/>
        <w:outlineLvl w:val="2"/>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1、企业使命、企业愿景、企业价值观</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blHeader/>
        </w:trPr>
        <w:tc>
          <w:tcPr>
            <w:tcW w:w="1102" w:type="pct"/>
            <w:tcBorders>
              <w:bottom w:val="single" w:color="auto" w:sz="4" w:space="0"/>
            </w:tcBorders>
            <w:vAlign w:val="center"/>
          </w:tcPr>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项</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目</w:t>
            </w:r>
          </w:p>
        </w:tc>
        <w:tc>
          <w:tcPr>
            <w:tcW w:w="3898" w:type="pct"/>
            <w:tcBorders>
              <w:bottom w:val="single" w:color="auto" w:sz="4" w:space="0"/>
            </w:tcBorders>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内</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102" w:type="pct"/>
            <w:vAlign w:val="center"/>
          </w:tcPr>
          <w:p>
            <w:pPr>
              <w:spacing w:line="360" w:lineRule="auto"/>
              <w:ind w:firstLine="240" w:firstLineChars="100"/>
              <w:rPr>
                <w:rFonts w:cs="Times New Roman" w:asciiTheme="minorEastAsia" w:hAnsiTheme="minorEastAsia"/>
                <w:kern w:val="0"/>
                <w:sz w:val="24"/>
                <w:szCs w:val="24"/>
                <w:highlight w:val="yellow"/>
              </w:rPr>
            </w:pPr>
            <w:r>
              <w:rPr>
                <w:rFonts w:hint="eastAsia" w:cs="Times New Roman" w:asciiTheme="minorEastAsia" w:hAnsiTheme="minorEastAsia"/>
                <w:kern w:val="0"/>
                <w:sz w:val="24"/>
                <w:szCs w:val="24"/>
              </w:rPr>
              <w:t>企业使命</w:t>
            </w:r>
          </w:p>
        </w:tc>
        <w:tc>
          <w:tcPr>
            <w:tcW w:w="3898" w:type="pct"/>
            <w:vAlign w:val="center"/>
          </w:tcPr>
          <w:p>
            <w:pPr>
              <w:spacing w:line="360" w:lineRule="auto"/>
              <w:jc w:val="center"/>
              <w:rPr>
                <w:rFonts w:cs="Times New Roman" w:asciiTheme="minorEastAsia" w:hAnsiTheme="minorEastAsia"/>
                <w:kern w:val="0"/>
                <w:sz w:val="24"/>
                <w:szCs w:val="24"/>
                <w:highlight w:val="yellow"/>
              </w:rPr>
            </w:pPr>
            <w:r>
              <w:rPr>
                <w:rFonts w:hint="eastAsia" w:cs="Times New Roman" w:asciiTheme="minorEastAsia" w:hAnsiTheme="minorEastAsia"/>
                <w:kern w:val="0"/>
                <w:sz w:val="24"/>
                <w:szCs w:val="24"/>
              </w:rPr>
              <w:t>致力于提供安全、舒适、健康的儿童视力保护方案。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102" w:type="pct"/>
            <w:vAlign w:val="center"/>
          </w:tcPr>
          <w:p>
            <w:pPr>
              <w:spacing w:line="360" w:lineRule="auto"/>
              <w:ind w:firstLine="240" w:firstLineChars="100"/>
              <w:rPr>
                <w:rFonts w:cs="Times New Roman" w:asciiTheme="minorEastAsia" w:hAnsiTheme="minorEastAsia"/>
                <w:kern w:val="0"/>
                <w:sz w:val="24"/>
                <w:szCs w:val="24"/>
                <w:highlight w:val="yellow"/>
              </w:rPr>
            </w:pPr>
            <w:r>
              <w:rPr>
                <w:rFonts w:hint="eastAsia" w:cs="Times New Roman" w:asciiTheme="minorEastAsia" w:hAnsiTheme="minorEastAsia"/>
                <w:kern w:val="0"/>
                <w:sz w:val="24"/>
                <w:szCs w:val="24"/>
              </w:rPr>
              <w:t>企业愿景</w:t>
            </w:r>
          </w:p>
        </w:tc>
        <w:tc>
          <w:tcPr>
            <w:tcW w:w="3898" w:type="pct"/>
            <w:vAlign w:val="center"/>
          </w:tcPr>
          <w:p>
            <w:pPr>
              <w:spacing w:line="360" w:lineRule="auto"/>
              <w:ind w:firstLine="480" w:firstLineChars="200"/>
              <w:jc w:val="center"/>
              <w:rPr>
                <w:rFonts w:cs="Times New Roman" w:asciiTheme="minorEastAsia" w:hAnsiTheme="minorEastAsia"/>
                <w:kern w:val="0"/>
                <w:sz w:val="24"/>
                <w:szCs w:val="24"/>
                <w:highlight w:val="yellow"/>
              </w:rPr>
            </w:pPr>
            <w:r>
              <w:rPr>
                <w:rFonts w:hint="eastAsia" w:cs="Times New Roman" w:asciiTheme="minorEastAsia" w:hAnsiTheme="minorEastAsia"/>
                <w:kern w:val="0"/>
                <w:sz w:val="24"/>
                <w:szCs w:val="24"/>
              </w:rPr>
              <w:t>成为儿童眼镜行业领军企业。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102" w:type="pct"/>
            <w:vAlign w:val="center"/>
          </w:tcPr>
          <w:p>
            <w:pPr>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企业价值观</w:t>
            </w:r>
          </w:p>
        </w:tc>
        <w:tc>
          <w:tcPr>
            <w:tcW w:w="3898" w:type="pct"/>
            <w:vAlign w:val="center"/>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客户至上 结果导向 团队合作 持续创新。</w:t>
            </w:r>
          </w:p>
        </w:tc>
      </w:tr>
    </w:tbl>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2、品牌建设情况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浙江佰利眼镜有限公司以产品质量赢得市场口碑，在行业内品牌形象上佳，并依托网络品牌宣传和推广，产品知名度在业界具有很高知名度，产品和服务得到用户认可。公司在顾客与市场方面的绩效结果，包括顾客满意表明佰利产品稳定处于在较高的水平</w:t>
      </w:r>
      <w:r>
        <w:rPr>
          <w:rFonts w:cs="Times New Roman" w:asciiTheme="minorEastAsia" w:hAnsiTheme="minorEastAsia"/>
          <w:kern w:val="0"/>
          <w:sz w:val="24"/>
          <w:szCs w:val="24"/>
        </w:rPr>
        <w:t>。</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公司不断壮大“精、专、新”的研发队伍，持续改善产品技术水平和质量性能，近三年来产品多次获得客户和同行认可</w:t>
      </w:r>
      <w:r>
        <w:rPr>
          <w:rFonts w:hint="eastAsia" w:cs="Times New Roman" w:asciiTheme="minorEastAsia" w:hAnsiTheme="minorEastAsia"/>
          <w:kern w:val="0"/>
          <w:sz w:val="24"/>
          <w:szCs w:val="24"/>
        </w:rPr>
        <w:t>。</w:t>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表3：质量管理水平相关绩效结果</w:t>
      </w:r>
    </w:p>
    <w:tbl>
      <w:tblPr>
        <w:tblStyle w:val="39"/>
        <w:tblW w:w="0" w:type="auto"/>
        <w:jc w:val="center"/>
        <w:tblLayout w:type="fixed"/>
        <w:tblCellMar>
          <w:top w:w="0" w:type="dxa"/>
          <w:left w:w="108" w:type="dxa"/>
          <w:bottom w:w="0" w:type="dxa"/>
          <w:right w:w="108" w:type="dxa"/>
        </w:tblCellMar>
      </w:tblPr>
      <w:tblGrid>
        <w:gridCol w:w="3529"/>
        <w:gridCol w:w="1134"/>
        <w:gridCol w:w="3613"/>
      </w:tblGrid>
      <w:tr>
        <w:tblPrEx>
          <w:tblCellMar>
            <w:top w:w="0" w:type="dxa"/>
            <w:left w:w="108" w:type="dxa"/>
            <w:bottom w:w="0" w:type="dxa"/>
            <w:right w:w="108" w:type="dxa"/>
          </w:tblCellMar>
        </w:tblPrEx>
        <w:trPr>
          <w:trHeight w:val="454" w:hRule="atLeast"/>
          <w:jc w:val="center"/>
        </w:trPr>
        <w:tc>
          <w:tcPr>
            <w:tcW w:w="352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指标项</w:t>
            </w:r>
          </w:p>
        </w:tc>
        <w:tc>
          <w:tcPr>
            <w:tcW w:w="1134" w:type="dxa"/>
            <w:tcBorders>
              <w:top w:val="single" w:color="000000" w:sz="4" w:space="0"/>
              <w:left w:val="nil"/>
              <w:bottom w:val="single" w:color="000000" w:sz="4" w:space="0"/>
              <w:right w:val="single" w:color="auto" w:sz="4" w:space="0"/>
            </w:tcBorders>
            <w:vAlign w:val="center"/>
          </w:tcPr>
          <w:p>
            <w:pPr>
              <w:spacing w:line="360" w:lineRule="auto"/>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3613" w:type="dxa"/>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201</w:t>
            </w:r>
            <w:r>
              <w:rPr>
                <w:rFonts w:hint="eastAsia" w:cs="Times New Roman" w:asciiTheme="minorEastAsia" w:hAnsiTheme="minorEastAsia"/>
                <w:kern w:val="0"/>
                <w:sz w:val="24"/>
                <w:szCs w:val="24"/>
              </w:rPr>
              <w:t>9</w:t>
            </w:r>
            <w:r>
              <w:rPr>
                <w:rFonts w:cs="Times New Roman" w:asciiTheme="minorEastAsia" w:hAnsiTheme="minorEastAsia"/>
                <w:kern w:val="0"/>
                <w:sz w:val="24"/>
                <w:szCs w:val="24"/>
              </w:rPr>
              <w:t>年</w:t>
            </w:r>
          </w:p>
        </w:tc>
      </w:tr>
      <w:tr>
        <w:tblPrEx>
          <w:tblCellMar>
            <w:top w:w="0" w:type="dxa"/>
            <w:left w:w="108" w:type="dxa"/>
            <w:bottom w:w="0" w:type="dxa"/>
            <w:right w:w="108" w:type="dxa"/>
          </w:tblCellMar>
        </w:tblPrEx>
        <w:trPr>
          <w:trHeight w:val="454" w:hRule="atLeast"/>
          <w:jc w:val="center"/>
        </w:trPr>
        <w:tc>
          <w:tcPr>
            <w:tcW w:w="352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顾客</w:t>
            </w:r>
            <w:r>
              <w:rPr>
                <w:rFonts w:cs="Times New Roman" w:asciiTheme="minorEastAsia" w:hAnsiTheme="minorEastAsia"/>
                <w:kern w:val="0"/>
                <w:sz w:val="24"/>
                <w:szCs w:val="24"/>
              </w:rPr>
              <w:t>满意度</w:t>
            </w:r>
          </w:p>
        </w:tc>
        <w:tc>
          <w:tcPr>
            <w:tcW w:w="1134" w:type="dxa"/>
            <w:tcBorders>
              <w:top w:val="single" w:color="000000" w:sz="4" w:space="0"/>
              <w:left w:val="nil"/>
              <w:bottom w:val="single" w:color="000000" w:sz="4" w:space="0"/>
              <w:right w:val="single" w:color="auto" w:sz="4" w:space="0"/>
            </w:tcBorders>
            <w:vAlign w:val="center"/>
          </w:tcPr>
          <w:p>
            <w:pPr>
              <w:spacing w:line="360" w:lineRule="auto"/>
              <w:ind w:firstLine="240" w:firstLineChars="1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3613" w:type="dxa"/>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88%</w:t>
            </w:r>
          </w:p>
        </w:tc>
      </w:tr>
    </w:tbl>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outlineLvl w:val="1"/>
        <w:rPr>
          <w:rFonts w:cs="Times New Roman" w:asciiTheme="minorEastAsia" w:hAnsiTheme="minorEastAsia"/>
          <w:kern w:val="0"/>
          <w:sz w:val="24"/>
          <w:szCs w:val="24"/>
        </w:rPr>
      </w:pPr>
      <w:bookmarkStart w:id="26" w:name="_Toc515451678"/>
      <w:bookmarkStart w:id="27" w:name="_Toc5299"/>
      <w:r>
        <w:rPr>
          <w:rFonts w:hint="eastAsia" w:cs="Times New Roman" w:asciiTheme="minorEastAsia" w:hAnsiTheme="minorEastAsia"/>
          <w:kern w:val="0"/>
          <w:sz w:val="24"/>
          <w:szCs w:val="24"/>
        </w:rPr>
        <w:t>（六）</w:t>
      </w:r>
      <w:bookmarkEnd w:id="26"/>
      <w:r>
        <w:rPr>
          <w:rFonts w:hint="eastAsia" w:cs="Times New Roman" w:asciiTheme="minorEastAsia" w:hAnsiTheme="minorEastAsia"/>
          <w:kern w:val="0"/>
          <w:sz w:val="24"/>
          <w:szCs w:val="24"/>
        </w:rPr>
        <w:t>企业技术水平</w:t>
      </w:r>
      <w:bookmarkEnd w:id="27"/>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1、专利情况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近年来，公司积极开展自主创新工作，加大研发投入力度，公司先后成立产品研发中心、产品试验中心。</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2、产品检验标准与水平</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自建厂以来，公司从未出现过重大质量投诉，在历年接受各级质量技术部门的抽检中，合格率均达100%。</w:t>
      </w:r>
    </w:p>
    <w:p>
      <w:pPr>
        <w:spacing w:line="360" w:lineRule="auto"/>
        <w:ind w:firstLine="480" w:firstLineChars="200"/>
        <w:outlineLvl w:val="1"/>
        <w:rPr>
          <w:rFonts w:cs="Times New Roman" w:asciiTheme="minorEastAsia" w:hAnsiTheme="minorEastAsia"/>
          <w:kern w:val="0"/>
          <w:sz w:val="24"/>
          <w:szCs w:val="24"/>
        </w:rPr>
      </w:pPr>
      <w:bookmarkStart w:id="28" w:name="_Toc515451679"/>
      <w:bookmarkStart w:id="29" w:name="_Toc26372"/>
      <w:r>
        <w:rPr>
          <w:rFonts w:hint="eastAsia" w:cs="Times New Roman" w:asciiTheme="minorEastAsia" w:hAnsiTheme="minorEastAsia"/>
          <w:kern w:val="0"/>
          <w:sz w:val="24"/>
          <w:szCs w:val="24"/>
        </w:rPr>
        <w:t>（七）</w:t>
      </w:r>
      <w:bookmarkEnd w:id="28"/>
      <w:r>
        <w:rPr>
          <w:rFonts w:hint="eastAsia" w:cs="Times New Roman" w:asciiTheme="minorEastAsia" w:hAnsiTheme="minorEastAsia"/>
          <w:kern w:val="0"/>
          <w:sz w:val="24"/>
          <w:szCs w:val="24"/>
        </w:rPr>
        <w:t>企业计量水平</w:t>
      </w:r>
      <w:bookmarkEnd w:id="29"/>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严格执行《中华人民共和国计量法》等文件法规，从原材料采购、过程管理、生产设备、检验设备、工序检验、成品检验等环节建立了一整套管理文件和控制方法。设有专职计量人员负责公司的在用计量设备管理、配备和定期校检工作，注重对计量管理人员的专业培训，为公司的计量管理的规范化提供了有力的保障。</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为确保产品质量，在产品生产工艺中严格过程控制，对生产工艺过程中的原辅材料等加强计量管理，确保计量设备的正常运行和计量的准确性。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的计量基础。</w:t>
      </w:r>
    </w:p>
    <w:p>
      <w:pPr>
        <w:spacing w:line="360" w:lineRule="auto"/>
        <w:rPr>
          <w:rFonts w:cs="Times New Roman" w:asciiTheme="minorEastAsia" w:hAnsiTheme="minorEastAsia"/>
          <w:kern w:val="0"/>
          <w:sz w:val="24"/>
          <w:szCs w:val="24"/>
        </w:rPr>
      </w:pPr>
    </w:p>
    <w:p>
      <w:pPr>
        <w:spacing w:line="360" w:lineRule="auto"/>
        <w:ind w:firstLine="480" w:firstLineChars="200"/>
        <w:outlineLvl w:val="1"/>
        <w:rPr>
          <w:rFonts w:cs="Times New Roman" w:asciiTheme="minorEastAsia" w:hAnsiTheme="minorEastAsia"/>
          <w:kern w:val="0"/>
          <w:sz w:val="24"/>
          <w:szCs w:val="24"/>
        </w:rPr>
      </w:pPr>
      <w:bookmarkStart w:id="30" w:name="_Toc515451680"/>
      <w:bookmarkStart w:id="31" w:name="_Toc9831"/>
      <w:r>
        <w:rPr>
          <w:rFonts w:hint="eastAsia" w:cs="Times New Roman" w:asciiTheme="minorEastAsia" w:hAnsiTheme="minorEastAsia"/>
          <w:kern w:val="0"/>
          <w:sz w:val="24"/>
          <w:szCs w:val="24"/>
        </w:rPr>
        <w:t>（八）认证认可情况</w:t>
      </w:r>
      <w:bookmarkEnd w:id="30"/>
      <w:bookmarkEnd w:id="31"/>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目前公司已通过ISO9001质量认证，并准备开展“浙江制造”品牌认证，公司将严格按国际质量管理体系执行，使企业产品的质量得到有力的保障，从而使企业“品质、高效、持续改进、以顾客为中心”的质量方针得以顺利推行。</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--管理体系</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通过ISO9001体系认证，产品达到业内先进水平。</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--产品认证</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公司主要产品性能指标达到国内领先水平。</w:t>
      </w:r>
    </w:p>
    <w:p>
      <w:pPr>
        <w:spacing w:line="360" w:lineRule="auto"/>
        <w:ind w:firstLine="480" w:firstLineChars="200"/>
        <w:outlineLvl w:val="1"/>
        <w:rPr>
          <w:rFonts w:cs="Times New Roman" w:asciiTheme="minorEastAsia" w:hAnsiTheme="minorEastAsia"/>
          <w:kern w:val="0"/>
          <w:sz w:val="24"/>
          <w:szCs w:val="24"/>
        </w:rPr>
      </w:pPr>
      <w:bookmarkStart w:id="32" w:name="_Toc110"/>
      <w:bookmarkStart w:id="33" w:name="_Toc515451683"/>
      <w:r>
        <w:rPr>
          <w:rFonts w:hint="eastAsia" w:cs="Times New Roman" w:asciiTheme="minorEastAsia" w:hAnsiTheme="minorEastAsia"/>
          <w:kern w:val="0"/>
          <w:sz w:val="24"/>
          <w:szCs w:val="24"/>
        </w:rPr>
        <w:t>（九）产品质量承诺</w:t>
      </w:r>
      <w:bookmarkEnd w:id="32"/>
    </w:p>
    <w:bookmarkEnd w:id="33"/>
    <w:p>
      <w:pPr>
        <w:spacing w:line="360" w:lineRule="auto"/>
        <w:ind w:firstLine="480" w:firstLineChars="200"/>
        <w:rPr>
          <w:rFonts w:cs="Times New Roman" w:asciiTheme="minorEastAsia" w:hAnsiTheme="minorEastAsia"/>
          <w:kern w:val="0"/>
          <w:sz w:val="24"/>
          <w:szCs w:val="24"/>
        </w:rPr>
      </w:pPr>
      <w:bookmarkStart w:id="34" w:name="_Toc14390"/>
      <w:r>
        <w:rPr>
          <w:rFonts w:hint="eastAsia" w:cs="Times New Roman" w:asciiTheme="minorEastAsia" w:hAnsiTheme="minorEastAsia"/>
          <w:kern w:val="0"/>
          <w:sz w:val="24"/>
          <w:szCs w:val="24"/>
        </w:rPr>
        <w:t>1.自销售之日起12个月内如出现螺丝滑牙、脱焊、镀层脱落等质量问题，应进行免费维修；不能修复的应予以免费调换。</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 若因用户操作不当或其他非质量问题导致产品无法正常使用，制造商应根据用户的需求协助解决问题。</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 应在产品上施加唯一性批次号，可进行产品追溯。</w:t>
      </w:r>
    </w:p>
    <w:p>
      <w:pPr>
        <w:spacing w:line="360" w:lineRule="auto"/>
        <w:ind w:firstLine="480" w:firstLineChars="200"/>
        <w:outlineLvl w:val="1"/>
        <w:rPr>
          <w:rFonts w:cstheme="minorHAnsi"/>
          <w:kern w:val="0"/>
          <w:sz w:val="24"/>
          <w:szCs w:val="24"/>
        </w:rPr>
      </w:pPr>
      <w:r>
        <w:rPr>
          <w:rFonts w:cstheme="minorHAnsi"/>
          <w:kern w:val="0"/>
          <w:sz w:val="24"/>
          <w:szCs w:val="24"/>
        </w:rPr>
        <w:t>（十）质量投诉处理</w:t>
      </w:r>
      <w:bookmarkEnd w:id="34"/>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并实施顾客投诉处理流程，确保及时有效地处理客户投诉。客户投诉由专职人员处理，每张投诉单，均应严密监控，根据客户投诉类型与程度的差异，以客户为中心并注重收集和解决客户的反馈，并采取必要的纠正/预防措施，以防止类似问题的重复发生。以电话回访的方式跟踪投诉处理过程，了解顾客的满意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同时，公司销售部门对客诉信息定期监测，设立售后服务人员，对市场中重复发生及影响客户满意度和产品体验的问题进行集中收集，并加以分析，形成报告。定期组织内部各部门召开产品质量会议。组建品管圈、跨部门产品质量改善团队、同时联动上游供应商及相关合作伙伴，对重大产品质量问题进行攻坚改善，消除质量风险，提升产品质量满意度。</w:t>
      </w:r>
    </w:p>
    <w:p>
      <w:pPr>
        <w:spacing w:line="360" w:lineRule="auto"/>
        <w:ind w:firstLine="480" w:firstLineChars="200"/>
        <w:outlineLvl w:val="1"/>
        <w:rPr>
          <w:rFonts w:cs="Times New Roman" w:asciiTheme="minorEastAsia" w:hAnsiTheme="minorEastAsia"/>
          <w:kern w:val="0"/>
          <w:sz w:val="24"/>
          <w:szCs w:val="24"/>
        </w:rPr>
      </w:pPr>
      <w:bookmarkStart w:id="35" w:name="_Toc21494"/>
      <w:r>
        <w:rPr>
          <w:rFonts w:hint="eastAsia" w:cs="Times New Roman" w:asciiTheme="minorEastAsia" w:hAnsiTheme="minorEastAsia"/>
          <w:kern w:val="0"/>
          <w:sz w:val="24"/>
          <w:szCs w:val="24"/>
        </w:rPr>
        <w:t>（十一）质量风险监测</w:t>
      </w:r>
      <w:bookmarkEnd w:id="35"/>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公司制定常规产品生产运行控制流程，做到每一个环节严格控制，严格把关，确保每个零件的生产都符合相关要求，确保最终产品质量的合格。公司还运用三检制，即自检、</w:t>
      </w:r>
      <w:r>
        <w:rPr>
          <w:rFonts w:hint="eastAsia" w:cs="Times New Roman" w:asciiTheme="minorEastAsia" w:hAnsiTheme="minorEastAsia"/>
          <w:kern w:val="0"/>
          <w:sz w:val="24"/>
          <w:szCs w:val="24"/>
        </w:rPr>
        <w:t>互检、专检，</w:t>
      </w:r>
      <w:r>
        <w:rPr>
          <w:rFonts w:cs="Times New Roman" w:asciiTheme="minorEastAsia" w:hAnsiTheme="minorEastAsia"/>
          <w:kern w:val="0"/>
          <w:sz w:val="24"/>
          <w:szCs w:val="24"/>
        </w:rPr>
        <w:t>对产品质量进行严格把控。其中自检包括</w:t>
      </w:r>
      <w:r>
        <w:rPr>
          <w:rFonts w:hint="eastAsia" w:cs="Times New Roman" w:asciiTheme="minorEastAsia" w:hAnsiTheme="minorEastAsia"/>
          <w:kern w:val="0"/>
          <w:sz w:val="24"/>
          <w:szCs w:val="24"/>
        </w:rPr>
        <w:t>了</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生产全过程</w:t>
      </w:r>
      <w:r>
        <w:rPr>
          <w:rFonts w:cs="Times New Roman" w:asciiTheme="minorEastAsia" w:hAnsiTheme="minorEastAsia"/>
          <w:kern w:val="0"/>
          <w:sz w:val="24"/>
          <w:szCs w:val="24"/>
        </w:rPr>
        <w:t>，员工对自己所生产出来的产品，按照图纸</w:t>
      </w:r>
      <w:r>
        <w:rPr>
          <w:rFonts w:hint="eastAsia" w:cs="Times New Roman" w:asciiTheme="minorEastAsia" w:hAnsiTheme="minorEastAsia"/>
          <w:kern w:val="0"/>
          <w:sz w:val="24"/>
          <w:szCs w:val="24"/>
        </w:rPr>
        <w:t>或</w:t>
      </w:r>
      <w:r>
        <w:rPr>
          <w:rFonts w:cs="Times New Roman" w:asciiTheme="minorEastAsia" w:hAnsiTheme="minorEastAsia"/>
          <w:kern w:val="0"/>
          <w:sz w:val="24"/>
          <w:szCs w:val="24"/>
        </w:rPr>
        <w:t>要求自行进行检验，并作出是否合格的判定且在</w:t>
      </w:r>
      <w:r>
        <w:rPr>
          <w:rFonts w:hint="eastAsia" w:cs="Times New Roman" w:asciiTheme="minorEastAsia" w:hAnsiTheme="minorEastAsia"/>
          <w:kern w:val="0"/>
          <w:sz w:val="24"/>
          <w:szCs w:val="24"/>
        </w:rPr>
        <w:t>检验记录</w:t>
      </w:r>
      <w:r>
        <w:rPr>
          <w:rFonts w:cs="Times New Roman" w:asciiTheme="minorEastAsia" w:hAnsiTheme="minorEastAsia"/>
          <w:kern w:val="0"/>
          <w:sz w:val="24"/>
          <w:szCs w:val="24"/>
        </w:rPr>
        <w:t>上做好相关的自检记录。单元化模块化的生产模式，使</w:t>
      </w:r>
      <w:r>
        <w:rPr>
          <w:rFonts w:hint="eastAsia" w:cs="Times New Roman" w:asciiTheme="minorEastAsia" w:hAnsiTheme="minorEastAsia"/>
          <w:kern w:val="0"/>
          <w:sz w:val="24"/>
          <w:szCs w:val="24"/>
        </w:rPr>
        <w:t>产品</w:t>
      </w:r>
      <w:r>
        <w:rPr>
          <w:rFonts w:cs="Times New Roman" w:asciiTheme="minorEastAsia" w:hAnsiTheme="minorEastAsia"/>
          <w:kern w:val="0"/>
          <w:sz w:val="24"/>
          <w:szCs w:val="24"/>
        </w:rPr>
        <w:t>关键质量环节得以暴露和控制，进而保证</w:t>
      </w:r>
      <w:r>
        <w:rPr>
          <w:rFonts w:hint="eastAsia" w:cs="Times New Roman" w:asciiTheme="minorEastAsia" w:hAnsiTheme="minorEastAsia"/>
          <w:kern w:val="0"/>
          <w:sz w:val="24"/>
          <w:szCs w:val="24"/>
        </w:rPr>
        <w:t>产品</w:t>
      </w:r>
      <w:r>
        <w:rPr>
          <w:rFonts w:cs="Times New Roman" w:asciiTheme="minorEastAsia" w:hAnsiTheme="minorEastAsia"/>
          <w:kern w:val="0"/>
          <w:sz w:val="24"/>
          <w:szCs w:val="24"/>
        </w:rPr>
        <w:t>质量安全</w:t>
      </w:r>
      <w:r>
        <w:rPr>
          <w:rFonts w:hint="eastAsia" w:cs="Times New Roman" w:asciiTheme="minorEastAsia" w:hAnsiTheme="minorEastAsia"/>
          <w:kern w:val="0"/>
          <w:sz w:val="24"/>
          <w:szCs w:val="24"/>
        </w:rPr>
        <w:t>，防范质量安全风险</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制定了质量控制体系，成立了以总经理为最高领导人，质量工艺工程师，材料控制系统、检验与试验控制系统、生产设备控制系统、加工控制系统为组员的质量控制体系结构。并明确了质量控制体系结构及各相关部门职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公司编制以顾客为关注焦点、顾客满意的管理制度规定了在业务过程中的冲突和风险得到有效预防和处理的要求。当发生与顾客关系重大问题时，规定了制定应急措施进行处理。</w:t>
      </w:r>
    </w:p>
    <w:p>
      <w:pPr>
        <w:spacing w:line="360" w:lineRule="auto"/>
        <w:ind w:firstLine="480" w:firstLineChars="200"/>
        <w:outlineLvl w:val="0"/>
        <w:rPr>
          <w:rFonts w:cs="Times New Roman" w:asciiTheme="minorEastAsia" w:hAnsiTheme="minorEastAsia"/>
          <w:kern w:val="0"/>
          <w:sz w:val="24"/>
          <w:szCs w:val="24"/>
        </w:rPr>
      </w:pPr>
      <w:bookmarkStart w:id="36" w:name="_Toc14688"/>
      <w:r>
        <w:rPr>
          <w:rFonts w:hint="eastAsia" w:cs="Times New Roman" w:asciiTheme="minorEastAsia" w:hAnsiTheme="minorEastAsia"/>
          <w:kern w:val="0"/>
          <w:sz w:val="24"/>
          <w:szCs w:val="24"/>
        </w:rPr>
        <w:t>三、展望</w:t>
      </w:r>
      <w:bookmarkEnd w:id="36"/>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多年来，我们坚定不移地走合作共赢的发展道路，与众多优秀合作伙伴开展全方位、多形式的合资与合作，在合作中学习，在合作中提高，追求长期发展和互利共赢。我们相信，通过智慧的联合，团队的协作，将帮助我们实现优势互补。</w:t>
      </w:r>
    </w:p>
    <w:p>
      <w:pPr>
        <w:spacing w:line="360" w:lineRule="auto"/>
        <w:ind w:firstLine="480" w:firstLineChars="200"/>
        <w:rPr>
          <w:rFonts w:cs="Times New Roman" w:asciiTheme="minorEastAsia" w:hAnsiTheme="minorEastAsia"/>
          <w:kern w:val="0"/>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Narrow">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18"/>
      </w:pBdr>
      <w:jc w:val="left"/>
    </w:pPr>
    <w:r>
      <w:drawing>
        <wp:anchor distT="0" distB="0" distL="114300" distR="114300" simplePos="0" relativeHeight="251658240" behindDoc="0" locked="0" layoutInCell="1" allowOverlap="1">
          <wp:simplePos x="0" y="0"/>
          <wp:positionH relativeFrom="column">
            <wp:posOffset>0</wp:posOffset>
          </wp:positionH>
          <wp:positionV relativeFrom="paragraph">
            <wp:posOffset>-31115</wp:posOffset>
          </wp:positionV>
          <wp:extent cx="1195705" cy="387350"/>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5571" cy="387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98"/>
      <w:suff w:val="nothing"/>
      <w:lvlText w:val="%1"/>
      <w:lvlJc w:val="left"/>
      <w:pPr>
        <w:ind w:left="0" w:firstLine="0"/>
      </w:pPr>
      <w:rPr>
        <w:rFonts w:hint="default" w:ascii="Times New Roman" w:hAnsi="Times New Roman"/>
        <w:b/>
        <w:i w:val="0"/>
        <w:sz w:val="21"/>
      </w:rPr>
    </w:lvl>
    <w:lvl w:ilvl="1" w:tentative="0">
      <w:start w:val="1"/>
      <w:numFmt w:val="decimal"/>
      <w:pStyle w:val="99"/>
      <w:suff w:val="nothing"/>
      <w:lvlText w:val="%1%2　"/>
      <w:lvlJc w:val="left"/>
      <w:pPr>
        <w:ind w:left="0" w:firstLine="0"/>
      </w:pPr>
      <w:rPr>
        <w:rFonts w:hint="eastAsia" w:ascii="黑体" w:hAnsi="Times New Roman" w:eastAsia="黑体"/>
        <w:b w:val="0"/>
        <w:i w:val="0"/>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36"/>
    <w:rsid w:val="000001E5"/>
    <w:rsid w:val="00004397"/>
    <w:rsid w:val="0001164B"/>
    <w:rsid w:val="00036A7A"/>
    <w:rsid w:val="00041FFE"/>
    <w:rsid w:val="000437A1"/>
    <w:rsid w:val="000519DC"/>
    <w:rsid w:val="0005551D"/>
    <w:rsid w:val="00063F4D"/>
    <w:rsid w:val="00066D0C"/>
    <w:rsid w:val="00077D7B"/>
    <w:rsid w:val="00093D9A"/>
    <w:rsid w:val="000C3B69"/>
    <w:rsid w:val="000E6239"/>
    <w:rsid w:val="000F2948"/>
    <w:rsid w:val="000F668C"/>
    <w:rsid w:val="00116ECF"/>
    <w:rsid w:val="00131595"/>
    <w:rsid w:val="001435B5"/>
    <w:rsid w:val="00153385"/>
    <w:rsid w:val="00165DCC"/>
    <w:rsid w:val="0017669F"/>
    <w:rsid w:val="00186145"/>
    <w:rsid w:val="001D1108"/>
    <w:rsid w:val="001D389D"/>
    <w:rsid w:val="001E6EFA"/>
    <w:rsid w:val="001F317C"/>
    <w:rsid w:val="0020185A"/>
    <w:rsid w:val="00205B2A"/>
    <w:rsid w:val="00205BD5"/>
    <w:rsid w:val="00225468"/>
    <w:rsid w:val="00233AAC"/>
    <w:rsid w:val="00234E6C"/>
    <w:rsid w:val="00241399"/>
    <w:rsid w:val="0024604C"/>
    <w:rsid w:val="00250CD1"/>
    <w:rsid w:val="002827AB"/>
    <w:rsid w:val="0028474E"/>
    <w:rsid w:val="002B6B4E"/>
    <w:rsid w:val="002D6E31"/>
    <w:rsid w:val="002F65F1"/>
    <w:rsid w:val="003163DF"/>
    <w:rsid w:val="0032036E"/>
    <w:rsid w:val="00330422"/>
    <w:rsid w:val="003322DB"/>
    <w:rsid w:val="0033724E"/>
    <w:rsid w:val="00352ADE"/>
    <w:rsid w:val="00377118"/>
    <w:rsid w:val="003809D1"/>
    <w:rsid w:val="003906B1"/>
    <w:rsid w:val="00397853"/>
    <w:rsid w:val="003C2E66"/>
    <w:rsid w:val="003C2FB7"/>
    <w:rsid w:val="003C57A7"/>
    <w:rsid w:val="003D6B20"/>
    <w:rsid w:val="004006DA"/>
    <w:rsid w:val="004008EE"/>
    <w:rsid w:val="00402339"/>
    <w:rsid w:val="004432F6"/>
    <w:rsid w:val="00463CC3"/>
    <w:rsid w:val="004805CD"/>
    <w:rsid w:val="00485095"/>
    <w:rsid w:val="004978CF"/>
    <w:rsid w:val="004A06E6"/>
    <w:rsid w:val="004B21B4"/>
    <w:rsid w:val="004B23E4"/>
    <w:rsid w:val="004B501E"/>
    <w:rsid w:val="0051403C"/>
    <w:rsid w:val="00554B93"/>
    <w:rsid w:val="005572C7"/>
    <w:rsid w:val="005A5A6F"/>
    <w:rsid w:val="005A74DA"/>
    <w:rsid w:val="005D41AB"/>
    <w:rsid w:val="00603844"/>
    <w:rsid w:val="00612FE1"/>
    <w:rsid w:val="00623075"/>
    <w:rsid w:val="00625F82"/>
    <w:rsid w:val="00631917"/>
    <w:rsid w:val="00634892"/>
    <w:rsid w:val="00637B07"/>
    <w:rsid w:val="00650C81"/>
    <w:rsid w:val="006644E1"/>
    <w:rsid w:val="00667FBF"/>
    <w:rsid w:val="00671E41"/>
    <w:rsid w:val="00686622"/>
    <w:rsid w:val="006A4B0E"/>
    <w:rsid w:val="006C0B69"/>
    <w:rsid w:val="006C3460"/>
    <w:rsid w:val="006F6F50"/>
    <w:rsid w:val="00703B80"/>
    <w:rsid w:val="00716577"/>
    <w:rsid w:val="00730453"/>
    <w:rsid w:val="00730A7E"/>
    <w:rsid w:val="00736DA1"/>
    <w:rsid w:val="00762875"/>
    <w:rsid w:val="00767175"/>
    <w:rsid w:val="00793FD8"/>
    <w:rsid w:val="007B1A38"/>
    <w:rsid w:val="00824AF2"/>
    <w:rsid w:val="00836A2D"/>
    <w:rsid w:val="00880909"/>
    <w:rsid w:val="00880AAF"/>
    <w:rsid w:val="008B2A22"/>
    <w:rsid w:val="008C15FE"/>
    <w:rsid w:val="008D6DB7"/>
    <w:rsid w:val="008E7DC2"/>
    <w:rsid w:val="008F3E0E"/>
    <w:rsid w:val="00901D8E"/>
    <w:rsid w:val="009033C1"/>
    <w:rsid w:val="009112BB"/>
    <w:rsid w:val="0094693B"/>
    <w:rsid w:val="00951B16"/>
    <w:rsid w:val="0095632E"/>
    <w:rsid w:val="00963EF7"/>
    <w:rsid w:val="00966680"/>
    <w:rsid w:val="009811C7"/>
    <w:rsid w:val="00981D30"/>
    <w:rsid w:val="00992744"/>
    <w:rsid w:val="009A0384"/>
    <w:rsid w:val="009B27FA"/>
    <w:rsid w:val="009B3814"/>
    <w:rsid w:val="009C0B0D"/>
    <w:rsid w:val="009E6F01"/>
    <w:rsid w:val="009F3E59"/>
    <w:rsid w:val="009F5B39"/>
    <w:rsid w:val="009F7CA5"/>
    <w:rsid w:val="009F7FA0"/>
    <w:rsid w:val="00A31629"/>
    <w:rsid w:val="00A322BA"/>
    <w:rsid w:val="00A37A34"/>
    <w:rsid w:val="00A41920"/>
    <w:rsid w:val="00A76FA3"/>
    <w:rsid w:val="00A80F7B"/>
    <w:rsid w:val="00AB2525"/>
    <w:rsid w:val="00AD5209"/>
    <w:rsid w:val="00AF5419"/>
    <w:rsid w:val="00B1748F"/>
    <w:rsid w:val="00B21EF1"/>
    <w:rsid w:val="00B3405E"/>
    <w:rsid w:val="00B5639F"/>
    <w:rsid w:val="00B575F2"/>
    <w:rsid w:val="00B65A19"/>
    <w:rsid w:val="00B7013E"/>
    <w:rsid w:val="00B740D4"/>
    <w:rsid w:val="00B81A74"/>
    <w:rsid w:val="00B91746"/>
    <w:rsid w:val="00B9573E"/>
    <w:rsid w:val="00B97751"/>
    <w:rsid w:val="00BA0555"/>
    <w:rsid w:val="00BA7FD7"/>
    <w:rsid w:val="00BB2768"/>
    <w:rsid w:val="00BD23D5"/>
    <w:rsid w:val="00BF63C4"/>
    <w:rsid w:val="00C038A5"/>
    <w:rsid w:val="00C5360B"/>
    <w:rsid w:val="00C626FE"/>
    <w:rsid w:val="00C62CC5"/>
    <w:rsid w:val="00C72D50"/>
    <w:rsid w:val="00C75F8D"/>
    <w:rsid w:val="00C76CCB"/>
    <w:rsid w:val="00C93C36"/>
    <w:rsid w:val="00CB51D4"/>
    <w:rsid w:val="00CB7BCF"/>
    <w:rsid w:val="00CC5344"/>
    <w:rsid w:val="00CD5536"/>
    <w:rsid w:val="00CD5A41"/>
    <w:rsid w:val="00CD6E6A"/>
    <w:rsid w:val="00CF5AE9"/>
    <w:rsid w:val="00D0108B"/>
    <w:rsid w:val="00D03E40"/>
    <w:rsid w:val="00D15BCB"/>
    <w:rsid w:val="00D43FE8"/>
    <w:rsid w:val="00D56F1C"/>
    <w:rsid w:val="00D64D83"/>
    <w:rsid w:val="00D76656"/>
    <w:rsid w:val="00D77F15"/>
    <w:rsid w:val="00D81A98"/>
    <w:rsid w:val="00D93538"/>
    <w:rsid w:val="00D958DE"/>
    <w:rsid w:val="00DA3FF1"/>
    <w:rsid w:val="00DC004C"/>
    <w:rsid w:val="00DC343E"/>
    <w:rsid w:val="00DC6F7A"/>
    <w:rsid w:val="00DE4547"/>
    <w:rsid w:val="00DE4754"/>
    <w:rsid w:val="00E07F08"/>
    <w:rsid w:val="00E1560D"/>
    <w:rsid w:val="00E23FAD"/>
    <w:rsid w:val="00E5064A"/>
    <w:rsid w:val="00E52188"/>
    <w:rsid w:val="00E705B8"/>
    <w:rsid w:val="00E71906"/>
    <w:rsid w:val="00EA43FF"/>
    <w:rsid w:val="00EA5F12"/>
    <w:rsid w:val="00EC5685"/>
    <w:rsid w:val="00EE5D34"/>
    <w:rsid w:val="00EF7FEC"/>
    <w:rsid w:val="00F02061"/>
    <w:rsid w:val="00F13B6E"/>
    <w:rsid w:val="00F72C6E"/>
    <w:rsid w:val="00F73F58"/>
    <w:rsid w:val="00F96B5F"/>
    <w:rsid w:val="00F97756"/>
    <w:rsid w:val="01915353"/>
    <w:rsid w:val="03AF34A2"/>
    <w:rsid w:val="05205355"/>
    <w:rsid w:val="060374E1"/>
    <w:rsid w:val="099540F5"/>
    <w:rsid w:val="099C3C23"/>
    <w:rsid w:val="0E92577A"/>
    <w:rsid w:val="15E4163C"/>
    <w:rsid w:val="1FE32AA5"/>
    <w:rsid w:val="223775AC"/>
    <w:rsid w:val="23DB1D7E"/>
    <w:rsid w:val="260B328E"/>
    <w:rsid w:val="277B0325"/>
    <w:rsid w:val="28C07367"/>
    <w:rsid w:val="2E5A64A6"/>
    <w:rsid w:val="2F91426B"/>
    <w:rsid w:val="31726B84"/>
    <w:rsid w:val="38DE637B"/>
    <w:rsid w:val="41BC5261"/>
    <w:rsid w:val="48D811F5"/>
    <w:rsid w:val="4E5A19FE"/>
    <w:rsid w:val="52631F37"/>
    <w:rsid w:val="5965519C"/>
    <w:rsid w:val="5F7610AD"/>
    <w:rsid w:val="69D13148"/>
    <w:rsid w:val="6C45775B"/>
    <w:rsid w:val="732F36FA"/>
    <w:rsid w:val="75332B1D"/>
    <w:rsid w:val="78746025"/>
    <w:rsid w:val="7A2A625A"/>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qFormat="1" w:uiPriority="99" w:semiHidden="0"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60"/>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61"/>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2"/>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3"/>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style>
  <w:style w:type="paragraph" w:styleId="10">
    <w:name w:val="Note Heading"/>
    <w:basedOn w:val="1"/>
    <w:next w:val="1"/>
    <w:link w:val="72"/>
    <w:qFormat/>
    <w:uiPriority w:val="99"/>
    <w:pPr>
      <w:jc w:val="center"/>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77"/>
    <w:unhideWhenUsed/>
    <w:qFormat/>
    <w:uiPriority w:val="99"/>
    <w:rPr>
      <w:rFonts w:ascii="宋体" w:hAnsi="Calibri" w:eastAsia="宋体" w:cs="Times New Roman"/>
      <w:sz w:val="18"/>
      <w:szCs w:val="18"/>
    </w:rPr>
  </w:style>
  <w:style w:type="paragraph" w:styleId="14">
    <w:name w:val="toa heading"/>
    <w:basedOn w:val="1"/>
    <w:next w:val="1"/>
    <w:semiHidden/>
    <w:qFormat/>
    <w:uiPriority w:val="0"/>
    <w:pPr>
      <w:spacing w:before="120"/>
    </w:pPr>
    <w:rPr>
      <w:rFonts w:ascii="Arial" w:hAnsi="Arial" w:eastAsia="宋体" w:cs="Times New Roman"/>
      <w:b/>
      <w:bCs/>
      <w:szCs w:val="21"/>
    </w:rPr>
  </w:style>
  <w:style w:type="paragraph" w:styleId="15">
    <w:name w:val="annotation text"/>
    <w:basedOn w:val="1"/>
    <w:link w:val="53"/>
    <w:unhideWhenUsed/>
    <w:qFormat/>
    <w:uiPriority w:val="99"/>
    <w:pPr>
      <w:jc w:val="left"/>
    </w:pPr>
  </w:style>
  <w:style w:type="paragraph" w:styleId="16">
    <w:name w:val="Salutation"/>
    <w:basedOn w:val="1"/>
    <w:next w:val="1"/>
    <w:link w:val="64"/>
    <w:qFormat/>
    <w:uiPriority w:val="99"/>
    <w:rPr>
      <w:rFonts w:ascii="Times New Roman" w:hAnsi="Times New Roman" w:eastAsia="宋体" w:cs="Times New Roman"/>
      <w:szCs w:val="21"/>
    </w:rPr>
  </w:style>
  <w:style w:type="paragraph" w:styleId="17">
    <w:name w:val="List Bullet 3"/>
    <w:basedOn w:val="1"/>
    <w:qFormat/>
    <w:uiPriority w:val="0"/>
    <w:pPr>
      <w:tabs>
        <w:tab w:val="left" w:pos="1200"/>
      </w:tabs>
    </w:pPr>
    <w:rPr>
      <w:rFonts w:ascii="Times New Roman" w:hAnsi="Times New Roman" w:eastAsia="宋体" w:cs="Times New Roman"/>
      <w:szCs w:val="21"/>
    </w:rPr>
  </w:style>
  <w:style w:type="paragraph" w:styleId="18">
    <w:name w:val="Body Text"/>
    <w:basedOn w:val="1"/>
    <w:link w:val="69"/>
    <w:qFormat/>
    <w:uiPriority w:val="99"/>
    <w:pPr>
      <w:spacing w:after="120"/>
    </w:pPr>
    <w:rPr>
      <w:rFonts w:ascii="Times New Roman" w:hAnsi="Times New Roman" w:eastAsia="宋体" w:cs="Times New Roman"/>
      <w:szCs w:val="21"/>
    </w:rPr>
  </w:style>
  <w:style w:type="paragraph" w:styleId="19">
    <w:name w:val="Body Text Indent"/>
    <w:basedOn w:val="1"/>
    <w:qFormat/>
    <w:uiPriority w:val="0"/>
    <w:pPr>
      <w:spacing w:line="480" w:lineRule="exact"/>
      <w:ind w:firstLine="480" w:firstLineChars="200"/>
    </w:pPr>
    <w:rPr>
      <w:sz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2">
    <w:name w:val="Plain Text"/>
    <w:basedOn w:val="1"/>
    <w:link w:val="67"/>
    <w:qFormat/>
    <w:uiPriority w:val="0"/>
    <w:rPr>
      <w:rFonts w:ascii="宋体" w:hAnsi="Courier New" w:eastAsia="宋体" w:cs="Times New Roman"/>
      <w:szCs w:val="20"/>
    </w:rPr>
  </w:style>
  <w:style w:type="paragraph" w:styleId="23">
    <w:name w:val="toc 8"/>
    <w:basedOn w:val="1"/>
    <w:next w:val="1"/>
    <w:unhideWhenUsed/>
    <w:qFormat/>
    <w:uiPriority w:val="39"/>
    <w:pPr>
      <w:ind w:left="2940" w:leftChars="1400"/>
    </w:pPr>
  </w:style>
  <w:style w:type="paragraph" w:styleId="24">
    <w:name w:val="Date"/>
    <w:basedOn w:val="1"/>
    <w:next w:val="1"/>
    <w:link w:val="71"/>
    <w:qFormat/>
    <w:uiPriority w:val="99"/>
    <w:pPr>
      <w:ind w:left="100" w:leftChars="2500"/>
    </w:pPr>
    <w:rPr>
      <w:rFonts w:ascii="Times New Roman" w:hAnsi="Times New Roman" w:eastAsia="宋体" w:cs="Times New Roman"/>
      <w:szCs w:val="21"/>
    </w:rPr>
  </w:style>
  <w:style w:type="paragraph" w:styleId="25">
    <w:name w:val="endnote text"/>
    <w:basedOn w:val="1"/>
    <w:link w:val="81"/>
    <w:unhideWhenUsed/>
    <w:qFormat/>
    <w:uiPriority w:val="99"/>
    <w:pPr>
      <w:widowControl/>
      <w:snapToGrid w:val="0"/>
      <w:jc w:val="left"/>
    </w:pPr>
    <w:rPr>
      <w:rFonts w:ascii="宋体" w:hAnsi="宋体" w:eastAsia="宋体" w:cs="宋体"/>
      <w:kern w:val="0"/>
      <w:szCs w:val="24"/>
    </w:rPr>
  </w:style>
  <w:style w:type="paragraph" w:styleId="26">
    <w:name w:val="Balloon Text"/>
    <w:basedOn w:val="1"/>
    <w:link w:val="55"/>
    <w:unhideWhenUsed/>
    <w:qFormat/>
    <w:uiPriority w:val="99"/>
    <w:rPr>
      <w:sz w:val="18"/>
      <w:szCs w:val="18"/>
    </w:rPr>
  </w:style>
  <w:style w:type="paragraph" w:styleId="27">
    <w:name w:val="footer"/>
    <w:basedOn w:val="1"/>
    <w:link w:val="47"/>
    <w:unhideWhenUsed/>
    <w:qFormat/>
    <w:uiPriority w:val="99"/>
    <w:pPr>
      <w:tabs>
        <w:tab w:val="center" w:pos="4153"/>
        <w:tab w:val="right" w:pos="8306"/>
      </w:tabs>
      <w:snapToGrid w:val="0"/>
      <w:jc w:val="left"/>
    </w:pPr>
    <w:rPr>
      <w:sz w:val="18"/>
      <w:szCs w:val="18"/>
    </w:rPr>
  </w:style>
  <w:style w:type="paragraph" w:styleId="28">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3360" w:leftChars="1600"/>
    </w:pPr>
  </w:style>
  <w:style w:type="paragraph" w:styleId="3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36">
    <w:name w:val="Title"/>
    <w:basedOn w:val="1"/>
    <w:next w:val="1"/>
    <w:link w:val="79"/>
    <w:qFormat/>
    <w:uiPriority w:val="0"/>
    <w:pPr>
      <w:spacing w:before="240" w:after="60"/>
      <w:jc w:val="center"/>
      <w:outlineLvl w:val="0"/>
    </w:pPr>
    <w:rPr>
      <w:rFonts w:eastAsia="宋体" w:asciiTheme="majorHAnsi" w:hAnsiTheme="majorHAnsi" w:cstheme="majorBidi"/>
      <w:b/>
      <w:bCs/>
      <w:sz w:val="32"/>
      <w:szCs w:val="32"/>
    </w:rPr>
  </w:style>
  <w:style w:type="paragraph" w:styleId="37">
    <w:name w:val="annotation subject"/>
    <w:basedOn w:val="15"/>
    <w:next w:val="15"/>
    <w:link w:val="54"/>
    <w:unhideWhenUsed/>
    <w:qFormat/>
    <w:uiPriority w:val="99"/>
    <w:rPr>
      <w:b/>
      <w:bCs/>
    </w:rPr>
  </w:style>
  <w:style w:type="paragraph" w:styleId="38">
    <w:name w:val="Body Text First Indent 2"/>
    <w:basedOn w:val="19"/>
    <w:unhideWhenUsed/>
    <w:qFormat/>
    <w:uiPriority w:val="99"/>
    <w:pPr>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endnote reference"/>
    <w:basedOn w:val="41"/>
    <w:unhideWhenUsed/>
    <w:qFormat/>
    <w:uiPriority w:val="99"/>
    <w:rPr>
      <w:vertAlign w:val="superscript"/>
    </w:rPr>
  </w:style>
  <w:style w:type="character" w:styleId="43">
    <w:name w:val="page number"/>
    <w:basedOn w:val="41"/>
    <w:qFormat/>
    <w:uiPriority w:val="0"/>
  </w:style>
  <w:style w:type="character" w:styleId="44">
    <w:name w:val="Hyperlink"/>
    <w:basedOn w:val="41"/>
    <w:unhideWhenUsed/>
    <w:qFormat/>
    <w:uiPriority w:val="99"/>
    <w:rPr>
      <w:color w:val="0563C1" w:themeColor="hyperlink"/>
      <w:u w:val="single"/>
      <w14:textFill>
        <w14:solidFill>
          <w14:schemeClr w14:val="hlink"/>
        </w14:solidFill>
      </w14:textFill>
    </w:rPr>
  </w:style>
  <w:style w:type="character" w:styleId="45">
    <w:name w:val="annotation reference"/>
    <w:basedOn w:val="41"/>
    <w:unhideWhenUsed/>
    <w:qFormat/>
    <w:uiPriority w:val="0"/>
    <w:rPr>
      <w:sz w:val="21"/>
      <w:szCs w:val="21"/>
    </w:rPr>
  </w:style>
  <w:style w:type="character" w:customStyle="1" w:styleId="46">
    <w:name w:val="页眉 字符"/>
    <w:basedOn w:val="41"/>
    <w:link w:val="28"/>
    <w:qFormat/>
    <w:uiPriority w:val="99"/>
    <w:rPr>
      <w:sz w:val="18"/>
      <w:szCs w:val="18"/>
    </w:rPr>
  </w:style>
  <w:style w:type="character" w:customStyle="1" w:styleId="47">
    <w:name w:val="页脚 字符"/>
    <w:basedOn w:val="41"/>
    <w:link w:val="27"/>
    <w:qFormat/>
    <w:uiPriority w:val="99"/>
    <w:rPr>
      <w:sz w:val="18"/>
      <w:szCs w:val="18"/>
    </w:rPr>
  </w:style>
  <w:style w:type="paragraph" w:customStyle="1" w:styleId="48">
    <w:name w:val="aSTL正文"/>
    <w:basedOn w:val="1"/>
    <w:link w:val="49"/>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9">
    <w:name w:val="aSTL正文 Char"/>
    <w:link w:val="48"/>
    <w:qFormat/>
    <w:uiPriority w:val="0"/>
    <w:rPr>
      <w:rFonts w:ascii="Calibri" w:hAnsi="Calibri" w:eastAsia="宋体" w:cs="Times New Roman"/>
      <w:kern w:val="0"/>
      <w:sz w:val="24"/>
      <w:szCs w:val="20"/>
      <w:lang w:val="zh-CN" w:eastAsia="zh-CN"/>
    </w:rPr>
  </w:style>
  <w:style w:type="paragraph" w:customStyle="1" w:styleId="50">
    <w:name w:val="4.1.1.1.1"/>
    <w:basedOn w:val="1"/>
    <w:link w:val="51"/>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51">
    <w:name w:val="4.1.1.1.1 Char"/>
    <w:link w:val="50"/>
    <w:qFormat/>
    <w:uiPriority w:val="0"/>
    <w:rPr>
      <w:rFonts w:ascii="宋体" w:hAnsi="宋体" w:eastAsia="宋体" w:cs="Times New Roman"/>
      <w:b/>
      <w:color w:val="000000"/>
      <w:kern w:val="0"/>
      <w:sz w:val="24"/>
      <w:szCs w:val="24"/>
      <w:lang w:val="zh-CN" w:eastAsia="zh-CN"/>
    </w:rPr>
  </w:style>
  <w:style w:type="paragraph" w:styleId="52">
    <w:name w:val="List Paragraph"/>
    <w:basedOn w:val="1"/>
    <w:qFormat/>
    <w:uiPriority w:val="34"/>
    <w:pPr>
      <w:ind w:firstLine="420" w:firstLineChars="200"/>
    </w:pPr>
    <w:rPr>
      <w:rFonts w:ascii="Calibri" w:hAnsi="Calibri" w:eastAsia="宋体" w:cs="Times New Roman"/>
    </w:rPr>
  </w:style>
  <w:style w:type="character" w:customStyle="1" w:styleId="53">
    <w:name w:val="批注文字 字符"/>
    <w:basedOn w:val="41"/>
    <w:link w:val="15"/>
    <w:qFormat/>
    <w:uiPriority w:val="99"/>
  </w:style>
  <w:style w:type="character" w:customStyle="1" w:styleId="54">
    <w:name w:val="批注主题 字符"/>
    <w:basedOn w:val="53"/>
    <w:link w:val="37"/>
    <w:qFormat/>
    <w:uiPriority w:val="99"/>
    <w:rPr>
      <w:b/>
      <w:bCs/>
    </w:rPr>
  </w:style>
  <w:style w:type="character" w:customStyle="1" w:styleId="55">
    <w:name w:val="批注框文本 字符"/>
    <w:basedOn w:val="41"/>
    <w:link w:val="26"/>
    <w:qFormat/>
    <w:uiPriority w:val="99"/>
    <w:rPr>
      <w:sz w:val="18"/>
      <w:szCs w:val="18"/>
    </w:rPr>
  </w:style>
  <w:style w:type="character" w:customStyle="1" w:styleId="56">
    <w:name w:val="标题 1 字符"/>
    <w:basedOn w:val="41"/>
    <w:link w:val="2"/>
    <w:qFormat/>
    <w:uiPriority w:val="99"/>
    <w:rPr>
      <w:b/>
      <w:bCs/>
      <w:kern w:val="44"/>
      <w:sz w:val="44"/>
      <w:szCs w:val="44"/>
    </w:rPr>
  </w:style>
  <w:style w:type="paragraph" w:customStyle="1" w:styleId="5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41"/>
    <w:link w:val="3"/>
    <w:qFormat/>
    <w:uiPriority w:val="0"/>
    <w:rPr>
      <w:rFonts w:asciiTheme="majorHAnsi" w:hAnsiTheme="majorHAnsi" w:eastAsiaTheme="majorEastAsia" w:cstheme="majorBidi"/>
      <w:b/>
      <w:bCs/>
      <w:sz w:val="32"/>
      <w:szCs w:val="32"/>
    </w:rPr>
  </w:style>
  <w:style w:type="character" w:customStyle="1" w:styleId="59">
    <w:name w:val="标题 3 字符"/>
    <w:basedOn w:val="41"/>
    <w:link w:val="4"/>
    <w:qFormat/>
    <w:uiPriority w:val="9"/>
    <w:rPr>
      <w:rFonts w:ascii="Calibri" w:hAnsi="Calibri" w:eastAsia="宋体" w:cs="Times New Roman"/>
      <w:b/>
      <w:bCs/>
      <w:szCs w:val="32"/>
    </w:rPr>
  </w:style>
  <w:style w:type="character" w:customStyle="1" w:styleId="60">
    <w:name w:val="标题 4 字符"/>
    <w:basedOn w:val="41"/>
    <w:link w:val="5"/>
    <w:qFormat/>
    <w:uiPriority w:val="9"/>
    <w:rPr>
      <w:rFonts w:ascii="Cambria" w:hAnsi="Cambria" w:eastAsia="宋体" w:cs="Times New Roman"/>
      <w:b/>
      <w:bCs/>
      <w:szCs w:val="28"/>
    </w:rPr>
  </w:style>
  <w:style w:type="character" w:customStyle="1" w:styleId="61">
    <w:name w:val="标题 5 字符"/>
    <w:basedOn w:val="41"/>
    <w:link w:val="6"/>
    <w:qFormat/>
    <w:uiPriority w:val="9"/>
    <w:rPr>
      <w:rFonts w:ascii="Calibri" w:hAnsi="Calibri" w:eastAsia="宋体" w:cs="Times New Roman"/>
      <w:b/>
      <w:bCs/>
      <w:szCs w:val="28"/>
    </w:rPr>
  </w:style>
  <w:style w:type="character" w:customStyle="1" w:styleId="62">
    <w:name w:val="标题 6 字符"/>
    <w:basedOn w:val="41"/>
    <w:link w:val="7"/>
    <w:qFormat/>
    <w:uiPriority w:val="9"/>
    <w:rPr>
      <w:rFonts w:eastAsia="宋体" w:asciiTheme="majorHAnsi" w:hAnsiTheme="majorHAnsi" w:cstheme="majorBidi"/>
      <w:b/>
      <w:bCs/>
      <w:kern w:val="0"/>
      <w:szCs w:val="24"/>
    </w:rPr>
  </w:style>
  <w:style w:type="character" w:customStyle="1" w:styleId="63">
    <w:name w:val="标题 7 字符"/>
    <w:basedOn w:val="41"/>
    <w:link w:val="8"/>
    <w:qFormat/>
    <w:uiPriority w:val="9"/>
    <w:rPr>
      <w:rFonts w:ascii="宋体" w:hAnsi="宋体" w:eastAsia="宋体" w:cs="宋体"/>
      <w:b/>
      <w:bCs/>
      <w:kern w:val="0"/>
      <w:sz w:val="24"/>
      <w:szCs w:val="24"/>
    </w:rPr>
  </w:style>
  <w:style w:type="character" w:customStyle="1" w:styleId="64">
    <w:name w:val="称呼 字符"/>
    <w:basedOn w:val="41"/>
    <w:link w:val="16"/>
    <w:qFormat/>
    <w:uiPriority w:val="99"/>
    <w:rPr>
      <w:rFonts w:ascii="Times New Roman" w:hAnsi="Times New Roman" w:eastAsia="宋体" w:cs="Times New Roman"/>
      <w:szCs w:val="21"/>
    </w:rPr>
  </w:style>
  <w:style w:type="character" w:customStyle="1" w:styleId="65">
    <w:name w:val="notnullcss1"/>
    <w:basedOn w:val="41"/>
    <w:qFormat/>
    <w:uiPriority w:val="99"/>
    <w:rPr>
      <w:rFonts w:eastAsia="宋体" w:cs="Times New Roman"/>
      <w:color w:val="FF0000"/>
      <w:kern w:val="2"/>
      <w:sz w:val="24"/>
      <w:szCs w:val="24"/>
      <w:lang w:val="en-US" w:eastAsia="zh-CN" w:bidi="ar-SA"/>
    </w:rPr>
  </w:style>
  <w:style w:type="paragraph" w:customStyle="1" w:styleId="66">
    <w:name w:val="xl61"/>
    <w:basedOn w:val="1"/>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7">
    <w:name w:val="纯文本 字符"/>
    <w:basedOn w:val="41"/>
    <w:link w:val="22"/>
    <w:qFormat/>
    <w:uiPriority w:val="0"/>
    <w:rPr>
      <w:rFonts w:ascii="宋体" w:hAnsi="Courier New" w:eastAsia="宋体" w:cs="Times New Roman"/>
      <w:szCs w:val="20"/>
    </w:rPr>
  </w:style>
  <w:style w:type="character" w:customStyle="1" w:styleId="68">
    <w:name w:val="headline-content2"/>
    <w:basedOn w:val="41"/>
    <w:qFormat/>
    <w:uiPriority w:val="0"/>
    <w:rPr>
      <w:rFonts w:eastAsia="宋体" w:cs="Times New Roman"/>
      <w:kern w:val="2"/>
      <w:sz w:val="24"/>
      <w:szCs w:val="24"/>
      <w:lang w:val="en-US" w:eastAsia="zh-CN" w:bidi="ar-SA"/>
    </w:rPr>
  </w:style>
  <w:style w:type="character" w:customStyle="1" w:styleId="69">
    <w:name w:val="正文文本 字符"/>
    <w:basedOn w:val="41"/>
    <w:link w:val="18"/>
    <w:qFormat/>
    <w:uiPriority w:val="99"/>
    <w:rPr>
      <w:rFonts w:ascii="Times New Roman" w:hAnsi="Times New Roman" w:eastAsia="宋体" w:cs="Times New Roman"/>
      <w:szCs w:val="21"/>
    </w:rPr>
  </w:style>
  <w:style w:type="paragraph" w:customStyle="1" w:styleId="70">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71">
    <w:name w:val="日期 字符"/>
    <w:basedOn w:val="41"/>
    <w:link w:val="24"/>
    <w:qFormat/>
    <w:uiPriority w:val="99"/>
    <w:rPr>
      <w:rFonts w:ascii="Times New Roman" w:hAnsi="Times New Roman" w:eastAsia="宋体" w:cs="Times New Roman"/>
      <w:szCs w:val="21"/>
    </w:rPr>
  </w:style>
  <w:style w:type="character" w:customStyle="1" w:styleId="72">
    <w:name w:val="注释标题 字符"/>
    <w:basedOn w:val="41"/>
    <w:link w:val="10"/>
    <w:qFormat/>
    <w:uiPriority w:val="99"/>
    <w:rPr>
      <w:rFonts w:ascii="Times New Roman" w:hAnsi="Times New Roman" w:eastAsia="宋体" w:cs="Times New Roman"/>
      <w:szCs w:val="21"/>
    </w:rPr>
  </w:style>
  <w:style w:type="paragraph" w:customStyle="1" w:styleId="73">
    <w:name w:val="标题5"/>
    <w:basedOn w:val="1"/>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4">
    <w:name w:val="修订1"/>
    <w:hidden/>
    <w:semiHidden/>
    <w:qFormat/>
    <w:uiPriority w:val="99"/>
    <w:rPr>
      <w:rFonts w:ascii="Calibri" w:hAnsi="Calibri" w:eastAsia="宋体" w:cs="Times New Roman"/>
      <w:kern w:val="2"/>
      <w:sz w:val="21"/>
      <w:szCs w:val="22"/>
      <w:lang w:val="en-US" w:eastAsia="zh-CN" w:bidi="ar-SA"/>
    </w:rPr>
  </w:style>
  <w:style w:type="character" w:customStyle="1" w:styleId="75">
    <w:name w:val="正文的样式 Char"/>
    <w:basedOn w:val="41"/>
    <w:link w:val="76"/>
    <w:qFormat/>
    <w:uiPriority w:val="0"/>
    <w:rPr>
      <w:szCs w:val="24"/>
    </w:rPr>
  </w:style>
  <w:style w:type="paragraph" w:customStyle="1" w:styleId="76">
    <w:name w:val="正文的样式"/>
    <w:basedOn w:val="1"/>
    <w:link w:val="75"/>
    <w:qFormat/>
    <w:uiPriority w:val="0"/>
    <w:pPr>
      <w:spacing w:before="100" w:after="100"/>
    </w:pPr>
    <w:rPr>
      <w:szCs w:val="24"/>
    </w:rPr>
  </w:style>
  <w:style w:type="character" w:customStyle="1" w:styleId="77">
    <w:name w:val="文档结构图 字符"/>
    <w:basedOn w:val="41"/>
    <w:link w:val="13"/>
    <w:semiHidden/>
    <w:qFormat/>
    <w:uiPriority w:val="99"/>
    <w:rPr>
      <w:rFonts w:ascii="宋体" w:hAnsi="Calibri" w:eastAsia="宋体" w:cs="Times New Roman"/>
      <w:sz w:val="18"/>
      <w:szCs w:val="18"/>
    </w:rPr>
  </w:style>
  <w:style w:type="character" w:styleId="78">
    <w:name w:val="Placeholder Text"/>
    <w:basedOn w:val="41"/>
    <w:semiHidden/>
    <w:qFormat/>
    <w:uiPriority w:val="99"/>
    <w:rPr>
      <w:color w:val="auto"/>
    </w:rPr>
  </w:style>
  <w:style w:type="character" w:customStyle="1" w:styleId="79">
    <w:name w:val="标题 字符"/>
    <w:basedOn w:val="41"/>
    <w:link w:val="36"/>
    <w:qFormat/>
    <w:uiPriority w:val="0"/>
    <w:rPr>
      <w:rFonts w:eastAsia="宋体" w:asciiTheme="majorHAnsi" w:hAnsiTheme="majorHAnsi" w:cstheme="majorBidi"/>
      <w:b/>
      <w:bCs/>
      <w:sz w:val="32"/>
      <w:szCs w:val="32"/>
    </w:rPr>
  </w:style>
  <w:style w:type="paragraph" w:styleId="8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1">
    <w:name w:val="尾注文本 字符"/>
    <w:basedOn w:val="41"/>
    <w:link w:val="25"/>
    <w:semiHidden/>
    <w:qFormat/>
    <w:uiPriority w:val="99"/>
    <w:rPr>
      <w:rFonts w:ascii="宋体" w:hAnsi="宋体" w:eastAsia="宋体" w:cs="宋体"/>
      <w:kern w:val="0"/>
      <w:szCs w:val="24"/>
    </w:rPr>
  </w:style>
  <w:style w:type="character" w:customStyle="1" w:styleId="82">
    <w:name w:val="批注主题 Char1"/>
    <w:basedOn w:val="53"/>
    <w:semiHidden/>
    <w:qFormat/>
    <w:uiPriority w:val="99"/>
    <w:rPr>
      <w:rFonts w:ascii="Times New Roman" w:hAnsi="Times New Roman" w:eastAsia="宋体" w:cs="Times New Roman"/>
      <w:b/>
      <w:bCs/>
      <w:szCs w:val="21"/>
    </w:rPr>
  </w:style>
  <w:style w:type="character" w:customStyle="1" w:styleId="83">
    <w:name w:val="span_"/>
    <w:basedOn w:val="41"/>
    <w:qFormat/>
    <w:uiPriority w:val="0"/>
  </w:style>
  <w:style w:type="paragraph" w:customStyle="1" w:styleId="84">
    <w:name w:val="标题  3"/>
    <w:basedOn w:val="1"/>
    <w:next w:val="1"/>
    <w:link w:val="85"/>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5">
    <w:name w:val="标题  3 Char"/>
    <w:basedOn w:val="41"/>
    <w:link w:val="84"/>
    <w:qFormat/>
    <w:uiPriority w:val="0"/>
    <w:rPr>
      <w:rFonts w:ascii="Times New Roman" w:hAnsi="Times New Roman" w:eastAsia="宋体" w:cs="Times New Roman"/>
      <w:b/>
      <w:szCs w:val="24"/>
    </w:rPr>
  </w:style>
  <w:style w:type="paragraph" w:customStyle="1" w:styleId="86">
    <w:name w:val="列出段落1"/>
    <w:basedOn w:val="1"/>
    <w:qFormat/>
    <w:uiPriority w:val="0"/>
    <w:pPr>
      <w:ind w:firstLine="420" w:firstLineChars="200"/>
    </w:pPr>
    <w:rPr>
      <w:rFonts w:ascii="Calibri" w:hAnsi="Calibri" w:eastAsia="宋体" w:cs="Calibri"/>
      <w:szCs w:val="21"/>
    </w:rPr>
  </w:style>
  <w:style w:type="paragraph" w:customStyle="1" w:styleId="87">
    <w:name w:val="报告正文格式1"/>
    <w:basedOn w:val="1"/>
    <w:qFormat/>
    <w:uiPriority w:val="0"/>
    <w:pPr>
      <w:spacing w:line="360" w:lineRule="auto"/>
      <w:ind w:firstLine="200" w:firstLineChars="200"/>
      <w:jc w:val="left"/>
    </w:pPr>
    <w:rPr>
      <w:rFonts w:ascii="Times New Roman" w:hAnsi="Times New Roman" w:eastAsia="仿宋" w:cs="Times New Roman"/>
      <w:bCs/>
      <w:sz w:val="24"/>
      <w:szCs w:val="24"/>
    </w:rPr>
  </w:style>
  <w:style w:type="paragraph" w:customStyle="1" w:styleId="8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8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0">
    <w:name w:val="Table Paragraph"/>
    <w:basedOn w:val="1"/>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91">
    <w:name w:val="前言标题"/>
    <w:basedOn w:val="3"/>
    <w:link w:val="93"/>
    <w:qFormat/>
    <w:uiPriority w:val="0"/>
    <w:pPr>
      <w:spacing w:before="0" w:after="0" w:line="566" w:lineRule="auto"/>
      <w:jc w:val="left"/>
      <w:outlineLvl w:val="9"/>
    </w:pPr>
    <w:rPr>
      <w:rFonts w:ascii="Times New Roman" w:hAnsi="Times New Roman" w:eastAsia="黑体" w:cs="Times New Roman"/>
      <w:b w:val="0"/>
      <w:sz w:val="21"/>
    </w:rPr>
  </w:style>
  <w:style w:type="paragraph" w:customStyle="1" w:styleId="92">
    <w:name w:val="前言大标题"/>
    <w:basedOn w:val="2"/>
    <w:link w:val="94"/>
    <w:qFormat/>
    <w:uiPriority w:val="0"/>
    <w:pPr>
      <w:spacing w:before="0" w:after="680" w:line="283" w:lineRule="auto"/>
      <w:ind w:firstLine="200" w:firstLineChars="200"/>
      <w:jc w:val="center"/>
      <w:outlineLvl w:val="9"/>
    </w:pPr>
    <w:rPr>
      <w:rFonts w:ascii="Times New Roman" w:hAnsi="Times New Roman" w:eastAsia="黑体" w:cs="Times New Roman"/>
      <w:b w:val="0"/>
      <w:sz w:val="32"/>
    </w:rPr>
  </w:style>
  <w:style w:type="character" w:customStyle="1" w:styleId="93">
    <w:name w:val="前言标题 Char"/>
    <w:basedOn w:val="41"/>
    <w:link w:val="91"/>
    <w:qFormat/>
    <w:uiPriority w:val="0"/>
    <w:rPr>
      <w:rFonts w:eastAsia="黑体"/>
      <w:bCs/>
      <w:kern w:val="2"/>
      <w:sz w:val="21"/>
      <w:szCs w:val="32"/>
    </w:rPr>
  </w:style>
  <w:style w:type="character" w:customStyle="1" w:styleId="94">
    <w:name w:val="前言大标题 Char"/>
    <w:link w:val="92"/>
    <w:uiPriority w:val="0"/>
    <w:rPr>
      <w:rFonts w:eastAsia="黑体"/>
      <w:bCs/>
      <w:kern w:val="44"/>
      <w:sz w:val="32"/>
      <w:szCs w:val="44"/>
    </w:rPr>
  </w:style>
  <w:style w:type="paragraph" w:customStyle="1" w:styleId="95">
    <w:name w:val="表格内"/>
    <w:basedOn w:val="1"/>
    <w:qFormat/>
    <w:uiPriority w:val="99"/>
    <w:pPr>
      <w:widowControl/>
      <w:adjustRightInd w:val="0"/>
      <w:snapToGrid w:val="0"/>
      <w:jc w:val="center"/>
    </w:pPr>
    <w:rPr>
      <w:rFonts w:ascii="Times New Roman" w:hAnsi="Times New Roman"/>
      <w:kern w:val="0"/>
      <w:szCs w:val="20"/>
    </w:rPr>
  </w:style>
  <w:style w:type="paragraph" w:customStyle="1" w:styleId="96">
    <w:name w:val="WPSOffice手动目录 1"/>
    <w:qFormat/>
    <w:uiPriority w:val="0"/>
    <w:rPr>
      <w:rFonts w:ascii="Times New Roman" w:hAnsi="Times New Roman" w:eastAsia="宋体" w:cs="Times New Roman"/>
      <w:lang w:val="en-US" w:eastAsia="zh-CN" w:bidi="ar-SA"/>
    </w:rPr>
  </w:style>
  <w:style w:type="paragraph" w:customStyle="1" w:styleId="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00">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01">
    <w:name w:val="二级条标题"/>
    <w:basedOn w:val="100"/>
    <w:next w:val="1"/>
    <w:uiPriority w:val="0"/>
    <w:pPr>
      <w:numPr>
        <w:ilvl w:val="3"/>
      </w:numPr>
      <w:outlineLvl w:val="3"/>
    </w:pPr>
  </w:style>
  <w:style w:type="paragraph" w:customStyle="1" w:styleId="102">
    <w:name w:val="实施日期"/>
    <w:basedOn w:val="1"/>
    <w:qFormat/>
    <w:uiPriority w:val="0"/>
    <w:pPr>
      <w:framePr w:w="4000" w:h="473" w:hRule="exact" w:vSpace="180" w:wrap="around" w:vAnchor="margin" w:hAnchor="margin" w:xAlign="right" w:y="13511" w:anchorLock="1"/>
      <w:widowControl/>
      <w:numPr>
        <w:ilvl w:val="4"/>
        <w:numId w:val="1"/>
      </w:numPr>
      <w:jc w:val="right"/>
    </w:pPr>
    <w:rPr>
      <w:rFonts w:ascii="Times New Roman" w:hAnsi="Times New Roman" w:eastAsia="黑体" w:cs="Times New Roman"/>
      <w:kern w:val="0"/>
      <w:sz w:val="28"/>
      <w:szCs w:val="20"/>
    </w:rPr>
  </w:style>
  <w:style w:type="paragraph" w:customStyle="1" w:styleId="103">
    <w:name w:val="图表脚注"/>
    <w:next w:val="1"/>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104">
    <w:name w:val="正文表标题"/>
    <w:next w:val="1"/>
    <w:uiPriority w:val="0"/>
    <w:pPr>
      <w:numPr>
        <w:ilvl w:val="6"/>
        <w:numId w:val="1"/>
      </w:numPr>
      <w:jc w:val="center"/>
    </w:pPr>
    <w:rPr>
      <w:rFonts w:ascii="黑体" w:hAnsi="Times New Roman" w:eastAsia="黑体" w:cs="Times New Roman"/>
      <w:sz w:val="21"/>
      <w:lang w:val="en-US" w:eastAsia="zh-CN" w:bidi="ar-SA"/>
    </w:rPr>
  </w:style>
  <w:style w:type="paragraph" w:customStyle="1" w:styleId="105">
    <w:name w:val="一级无"/>
    <w:basedOn w:val="100"/>
    <w:qFormat/>
    <w:uiPriority w:val="0"/>
    <w:pPr>
      <w:numPr>
        <w:ilvl w:val="0"/>
        <w:numId w:val="0"/>
      </w:numPr>
      <w:tabs>
        <w:tab w:val="left" w:pos="360"/>
      </w:tabs>
    </w:pPr>
    <w:rPr>
      <w:rFonts w:ascii="宋体"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7E463-A10F-494B-AAC3-043C8AA8F383}">
  <ds:schemaRefs/>
</ds:datastoreItem>
</file>

<file path=customXml/itemProps3.xml><?xml version="1.0" encoding="utf-8"?>
<ds:datastoreItem xmlns:ds="http://schemas.openxmlformats.org/officeDocument/2006/customXml" ds:itemID="{6BC0C85B-024C-49A1-89CA-1A1A3B0F4157}">
  <ds:schemaRefs/>
</ds:datastoreItem>
</file>

<file path=customXml/itemProps4.xml><?xml version="1.0" encoding="utf-8"?>
<ds:datastoreItem xmlns:ds="http://schemas.openxmlformats.org/officeDocument/2006/customXml" ds:itemID="{10B3D8C8-B16D-4C58-AC1F-0C96B5F40D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1398</Words>
  <Characters>7970</Characters>
  <Lines>66</Lines>
  <Paragraphs>18</Paragraphs>
  <TotalTime>384</TotalTime>
  <ScaleCrop>false</ScaleCrop>
  <LinksUpToDate>false</LinksUpToDate>
  <CharactersWithSpaces>9350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2019-11-27T11:33:00Z</dcterms:created>
  <dc:creator>Meng Tang</dc:creator>
  <cp:lastModifiedBy>半步天涯</cp:lastModifiedBy>
  <dcterms:modified xsi:type="dcterms:W3CDTF">2020-10-26T08:25:09Z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